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F9" w:rsidRPr="00F62B11" w:rsidRDefault="001455F9" w:rsidP="00F62B11">
      <w:pPr>
        <w:tabs>
          <w:tab w:val="left" w:pos="5387"/>
        </w:tabs>
        <w:spacing w:after="0" w:line="240" w:lineRule="auto"/>
        <w:rPr>
          <w:rFonts w:eastAsia="DINPro" w:cs="Arial"/>
          <w:szCs w:val="24"/>
          <w:lang w:val="et-EE"/>
        </w:rPr>
      </w:pPr>
    </w:p>
    <w:p w:rsidR="009D7CDA" w:rsidRPr="00F62B11" w:rsidRDefault="00921D2E" w:rsidP="00F62B11">
      <w:pPr>
        <w:tabs>
          <w:tab w:val="left" w:pos="5387"/>
        </w:tabs>
        <w:spacing w:after="0" w:line="240" w:lineRule="auto"/>
        <w:ind w:left="5040" w:hanging="5040"/>
        <w:rPr>
          <w:rFonts w:eastAsia="DINPro" w:cs="Arial"/>
          <w:szCs w:val="24"/>
          <w:lang w:val="et-EE"/>
        </w:rPr>
      </w:pPr>
      <w:r w:rsidRPr="00F62B11">
        <w:rPr>
          <w:rFonts w:eastAsia="DINPro" w:cs="Arial"/>
          <w:szCs w:val="24"/>
          <w:lang w:val="et-EE"/>
        </w:rPr>
        <w:t>Sise</w:t>
      </w:r>
      <w:r w:rsidR="004F198F" w:rsidRPr="00F62B11">
        <w:rPr>
          <w:rFonts w:eastAsia="DINPro" w:cs="Arial"/>
          <w:szCs w:val="24"/>
          <w:lang w:val="et-EE"/>
        </w:rPr>
        <w:t>ministeerium</w:t>
      </w:r>
      <w:r w:rsidR="009D7CDA" w:rsidRPr="00F62B11">
        <w:rPr>
          <w:rFonts w:eastAsia="DINPro" w:cs="Arial"/>
          <w:szCs w:val="24"/>
          <w:lang w:val="et-EE"/>
        </w:rPr>
        <w:tab/>
      </w:r>
      <w:r w:rsidR="005A4840" w:rsidRPr="00F62B11">
        <w:rPr>
          <w:rFonts w:eastAsia="DINPro" w:cs="Arial"/>
          <w:szCs w:val="24"/>
          <w:lang w:val="et-EE"/>
        </w:rPr>
        <w:tab/>
      </w:r>
      <w:r w:rsidR="009D7CDA" w:rsidRPr="00F62B11">
        <w:rPr>
          <w:rFonts w:eastAsia="DINPro" w:cs="Arial"/>
          <w:szCs w:val="24"/>
          <w:lang w:val="et-EE"/>
        </w:rPr>
        <w:t>Teie</w:t>
      </w:r>
      <w:r w:rsidRPr="00F62B11">
        <w:rPr>
          <w:rFonts w:eastAsia="DINPro" w:cs="Arial"/>
          <w:szCs w:val="24"/>
          <w:lang w:val="et-EE"/>
        </w:rPr>
        <w:t xml:space="preserve"> 25</w:t>
      </w:r>
      <w:r w:rsidR="005A4840" w:rsidRPr="00F62B11">
        <w:rPr>
          <w:rFonts w:eastAsia="DINPro" w:cs="Arial"/>
          <w:szCs w:val="24"/>
          <w:lang w:val="et-EE"/>
        </w:rPr>
        <w:t>.1</w:t>
      </w:r>
      <w:r w:rsidRPr="00F62B11">
        <w:rPr>
          <w:rFonts w:eastAsia="DINPro" w:cs="Arial"/>
          <w:szCs w:val="24"/>
          <w:lang w:val="et-EE"/>
        </w:rPr>
        <w:t>1</w:t>
      </w:r>
      <w:r w:rsidR="005375E5" w:rsidRPr="00F62B11">
        <w:rPr>
          <w:rFonts w:eastAsia="DINPro" w:cs="Arial"/>
          <w:szCs w:val="24"/>
          <w:lang w:val="et-EE"/>
        </w:rPr>
        <w:t>.2019</w:t>
      </w:r>
      <w:r w:rsidRPr="00F62B11">
        <w:rPr>
          <w:rFonts w:eastAsia="DINPro" w:cs="Arial"/>
          <w:szCs w:val="24"/>
          <w:lang w:val="et-EE"/>
        </w:rPr>
        <w:t xml:space="preserve"> nr 1</w:t>
      </w:r>
      <w:r w:rsidR="004F198F" w:rsidRPr="00F62B11">
        <w:rPr>
          <w:rFonts w:eastAsia="DINPro" w:cs="Arial"/>
          <w:szCs w:val="24"/>
          <w:lang w:val="et-EE"/>
        </w:rPr>
        <w:t>-</w:t>
      </w:r>
      <w:r w:rsidRPr="00F62B11">
        <w:rPr>
          <w:rFonts w:eastAsia="DINPro" w:cs="Arial"/>
          <w:szCs w:val="24"/>
          <w:lang w:val="et-EE"/>
        </w:rPr>
        <w:t>6</w:t>
      </w:r>
      <w:r w:rsidR="005A4840" w:rsidRPr="00F62B11">
        <w:rPr>
          <w:rFonts w:eastAsia="DINPro" w:cs="Arial"/>
          <w:szCs w:val="24"/>
          <w:lang w:val="et-EE"/>
        </w:rPr>
        <w:t>/</w:t>
      </w:r>
      <w:r w:rsidRPr="00F62B11">
        <w:rPr>
          <w:rFonts w:eastAsia="DINPro" w:cs="Arial"/>
          <w:szCs w:val="24"/>
          <w:lang w:val="et-EE"/>
        </w:rPr>
        <w:t>1941</w:t>
      </w:r>
      <w:r w:rsidR="004F198F" w:rsidRPr="00F62B11">
        <w:rPr>
          <w:rFonts w:eastAsia="DINPro" w:cs="Arial"/>
          <w:szCs w:val="24"/>
          <w:lang w:val="et-EE"/>
        </w:rPr>
        <w:t>-1</w:t>
      </w:r>
      <w:r w:rsidR="009D7CDA" w:rsidRPr="00F62B11">
        <w:rPr>
          <w:rFonts w:eastAsia="DINPro" w:cs="Arial"/>
          <w:szCs w:val="24"/>
          <w:lang w:val="et-EE"/>
        </w:rPr>
        <w:t xml:space="preserve"> </w:t>
      </w:r>
    </w:p>
    <w:p w:rsidR="009D7CDA" w:rsidRPr="00F62B11" w:rsidRDefault="00921D2E" w:rsidP="00F62B11">
      <w:pPr>
        <w:tabs>
          <w:tab w:val="left" w:pos="5387"/>
        </w:tabs>
        <w:spacing w:after="0" w:line="240" w:lineRule="auto"/>
        <w:rPr>
          <w:rFonts w:eastAsia="DINPro" w:cs="Arial"/>
          <w:szCs w:val="24"/>
          <w:lang w:val="et-EE"/>
        </w:rPr>
      </w:pPr>
      <w:r w:rsidRPr="00F62B11">
        <w:rPr>
          <w:rFonts w:eastAsia="DINPro" w:cs="Arial"/>
          <w:szCs w:val="24"/>
          <w:lang w:val="et-EE"/>
        </w:rPr>
        <w:t>Pikk 6</w:t>
      </w:r>
      <w:r w:rsidR="009D7CDA" w:rsidRPr="00F62B11">
        <w:rPr>
          <w:rFonts w:eastAsia="DINPro" w:cs="Arial"/>
          <w:szCs w:val="24"/>
          <w:lang w:val="et-EE"/>
        </w:rPr>
        <w:t>1</w:t>
      </w:r>
      <w:r w:rsidR="009D7CDA" w:rsidRPr="00F62B11">
        <w:rPr>
          <w:rFonts w:eastAsia="DINPro" w:cs="Arial"/>
          <w:szCs w:val="24"/>
          <w:lang w:val="et-EE"/>
        </w:rPr>
        <w:tab/>
      </w:r>
    </w:p>
    <w:p w:rsidR="00CF7D85" w:rsidRPr="00F62B11" w:rsidRDefault="00921D2E" w:rsidP="00F62B11">
      <w:pPr>
        <w:tabs>
          <w:tab w:val="left" w:pos="5387"/>
        </w:tabs>
        <w:spacing w:after="0" w:line="240" w:lineRule="auto"/>
        <w:rPr>
          <w:rFonts w:eastAsia="DINPro" w:cs="Arial"/>
          <w:szCs w:val="24"/>
          <w:lang w:val="et-EE"/>
        </w:rPr>
      </w:pPr>
      <w:r w:rsidRPr="00F62B11">
        <w:rPr>
          <w:rFonts w:eastAsia="DINPro" w:cs="Arial"/>
          <w:szCs w:val="24"/>
          <w:lang w:val="et-EE"/>
        </w:rPr>
        <w:t>15065</w:t>
      </w:r>
      <w:r w:rsidR="009D7CDA" w:rsidRPr="00F62B11">
        <w:rPr>
          <w:rFonts w:eastAsia="DINPro" w:cs="Arial"/>
          <w:szCs w:val="24"/>
          <w:lang w:val="et-EE"/>
        </w:rPr>
        <w:t xml:space="preserve"> Tallinn</w:t>
      </w:r>
      <w:r w:rsidR="009E0E71" w:rsidRPr="00F62B11">
        <w:rPr>
          <w:rFonts w:eastAsia="DINPro" w:cs="Arial"/>
          <w:szCs w:val="24"/>
          <w:lang w:val="et-EE"/>
        </w:rPr>
        <w:tab/>
        <w:t xml:space="preserve">Meie </w:t>
      </w:r>
      <w:r w:rsidRPr="00F62B11">
        <w:rPr>
          <w:rFonts w:eastAsia="DINPro" w:cs="Arial"/>
          <w:szCs w:val="24"/>
          <w:lang w:val="et-EE"/>
        </w:rPr>
        <w:t>1</w:t>
      </w:r>
      <w:r w:rsidR="00807F4B" w:rsidRPr="00F62B11">
        <w:rPr>
          <w:rFonts w:eastAsia="DINPro" w:cs="Arial"/>
          <w:szCs w:val="24"/>
          <w:lang w:val="et-EE"/>
        </w:rPr>
        <w:t>7</w:t>
      </w:r>
      <w:r w:rsidR="00D42116" w:rsidRPr="00F62B11">
        <w:rPr>
          <w:rFonts w:eastAsia="DINPro" w:cs="Arial"/>
          <w:szCs w:val="24"/>
          <w:lang w:val="et-EE"/>
        </w:rPr>
        <w:t>.</w:t>
      </w:r>
      <w:r w:rsidR="00123409" w:rsidRPr="00F62B11">
        <w:rPr>
          <w:rFonts w:eastAsia="DINPro" w:cs="Arial"/>
          <w:szCs w:val="24"/>
          <w:lang w:val="et-EE"/>
        </w:rPr>
        <w:t>1</w:t>
      </w:r>
      <w:r w:rsidR="005A4840" w:rsidRPr="00F62B11">
        <w:rPr>
          <w:rFonts w:eastAsia="DINPro" w:cs="Arial"/>
          <w:szCs w:val="24"/>
          <w:lang w:val="et-EE"/>
        </w:rPr>
        <w:t>2</w:t>
      </w:r>
      <w:r w:rsidR="009E0E71" w:rsidRPr="00F62B11">
        <w:rPr>
          <w:rFonts w:eastAsia="DINPro" w:cs="Arial"/>
          <w:szCs w:val="24"/>
          <w:lang w:val="et-EE"/>
        </w:rPr>
        <w:t>.201</w:t>
      </w:r>
      <w:r w:rsidR="00123409" w:rsidRPr="00F62B11">
        <w:rPr>
          <w:rFonts w:eastAsia="DINPro" w:cs="Arial"/>
          <w:szCs w:val="24"/>
          <w:lang w:val="et-EE"/>
        </w:rPr>
        <w:t>9</w:t>
      </w:r>
      <w:r w:rsidR="009E0E71" w:rsidRPr="00F62B11">
        <w:rPr>
          <w:rFonts w:eastAsia="DINPro" w:cs="Arial"/>
          <w:szCs w:val="24"/>
          <w:lang w:val="et-EE"/>
        </w:rPr>
        <w:t xml:space="preserve"> nr 4/</w:t>
      </w:r>
      <w:r w:rsidR="00A5589C" w:rsidRPr="00F62B11">
        <w:rPr>
          <w:rFonts w:eastAsia="DINPro" w:cs="Arial"/>
          <w:szCs w:val="24"/>
          <w:lang w:val="et-EE"/>
        </w:rPr>
        <w:t>2</w:t>
      </w:r>
      <w:r w:rsidR="00E45FB2">
        <w:rPr>
          <w:rFonts w:eastAsia="DINPro" w:cs="Arial"/>
          <w:szCs w:val="24"/>
          <w:lang w:val="et-EE"/>
        </w:rPr>
        <w:t>81</w:t>
      </w:r>
      <w:bookmarkStart w:id="0" w:name="_GoBack"/>
      <w:bookmarkEnd w:id="0"/>
    </w:p>
    <w:p w:rsidR="00CF7D85" w:rsidRPr="00F62B11" w:rsidRDefault="00CF7D85" w:rsidP="00F62B11">
      <w:pPr>
        <w:spacing w:after="0" w:line="240" w:lineRule="auto"/>
        <w:rPr>
          <w:rFonts w:eastAsia="DINPro" w:cs="Arial"/>
          <w:szCs w:val="24"/>
          <w:lang w:val="et-EE"/>
        </w:rPr>
      </w:pPr>
    </w:p>
    <w:p w:rsidR="00CF7D85" w:rsidRPr="00F62B11" w:rsidRDefault="00CF7D85" w:rsidP="00F62B11">
      <w:pPr>
        <w:spacing w:after="0" w:line="240" w:lineRule="auto"/>
        <w:rPr>
          <w:rFonts w:eastAsia="DINPro" w:cs="Arial"/>
          <w:szCs w:val="24"/>
          <w:lang w:val="et-EE"/>
        </w:rPr>
      </w:pPr>
    </w:p>
    <w:p w:rsidR="009E0E71" w:rsidRPr="00F62B11" w:rsidRDefault="009E0E71" w:rsidP="00F62B11">
      <w:pPr>
        <w:spacing w:after="0" w:line="240" w:lineRule="auto"/>
        <w:rPr>
          <w:rFonts w:eastAsia="DINPro" w:cs="Arial"/>
          <w:szCs w:val="24"/>
          <w:lang w:val="et-EE"/>
        </w:rPr>
      </w:pPr>
    </w:p>
    <w:p w:rsidR="00F62B11" w:rsidRPr="00F62B11" w:rsidRDefault="00F62B11" w:rsidP="00F62B11">
      <w:pPr>
        <w:spacing w:after="0" w:line="240" w:lineRule="auto"/>
        <w:rPr>
          <w:rFonts w:eastAsia="DINPro" w:cs="Arial"/>
          <w:szCs w:val="24"/>
          <w:lang w:val="et-EE"/>
        </w:rPr>
      </w:pPr>
    </w:p>
    <w:p w:rsidR="007A0BD7" w:rsidRPr="00F62B11" w:rsidRDefault="007A0BD7" w:rsidP="00F62B11">
      <w:pPr>
        <w:spacing w:after="0" w:line="240" w:lineRule="auto"/>
        <w:rPr>
          <w:rFonts w:eastAsia="DINPro" w:cs="Arial"/>
          <w:szCs w:val="24"/>
          <w:lang w:val="et-EE"/>
        </w:rPr>
      </w:pPr>
    </w:p>
    <w:p w:rsidR="00EC12E1" w:rsidRPr="00F62B11" w:rsidRDefault="00EC12E1" w:rsidP="00F62B11">
      <w:pPr>
        <w:spacing w:after="0" w:line="240" w:lineRule="auto"/>
        <w:rPr>
          <w:rFonts w:eastAsia="DINPro" w:cs="Arial"/>
          <w:szCs w:val="24"/>
          <w:lang w:val="et-EE"/>
        </w:rPr>
      </w:pPr>
    </w:p>
    <w:p w:rsidR="00D42116" w:rsidRPr="00F62B11" w:rsidRDefault="009D7CDA" w:rsidP="00F62B11">
      <w:pPr>
        <w:spacing w:after="0" w:line="240" w:lineRule="auto"/>
        <w:rPr>
          <w:rFonts w:eastAsia="DINPro" w:cs="Arial"/>
          <w:szCs w:val="24"/>
          <w:lang w:val="et-EE"/>
        </w:rPr>
      </w:pPr>
      <w:r w:rsidRPr="00F62B11">
        <w:rPr>
          <w:rFonts w:eastAsia="DINPro" w:cs="Arial"/>
          <w:b/>
          <w:szCs w:val="24"/>
          <w:lang w:val="et-EE"/>
        </w:rPr>
        <w:t xml:space="preserve">Arvamuse esitamine </w:t>
      </w:r>
      <w:r w:rsidR="00921D2E" w:rsidRPr="00F62B11">
        <w:rPr>
          <w:rFonts w:eastAsia="DINPro" w:cs="Arial"/>
          <w:b/>
          <w:szCs w:val="24"/>
          <w:lang w:val="et-EE"/>
        </w:rPr>
        <w:t xml:space="preserve">turvategevuse seaduse </w:t>
      </w:r>
      <w:r w:rsidR="004F198F" w:rsidRPr="00F62B11">
        <w:rPr>
          <w:rFonts w:eastAsia="DINPro" w:cs="Arial"/>
          <w:b/>
          <w:szCs w:val="24"/>
          <w:lang w:val="et-EE"/>
        </w:rPr>
        <w:t xml:space="preserve">eelnõu </w:t>
      </w:r>
      <w:r w:rsidR="005375E5" w:rsidRPr="00F62B11">
        <w:rPr>
          <w:rFonts w:eastAsia="DINPro" w:cs="Arial"/>
          <w:b/>
          <w:szCs w:val="24"/>
          <w:lang w:val="et-EE"/>
        </w:rPr>
        <w:t>kohta</w:t>
      </w:r>
      <w:r w:rsidR="005A4840" w:rsidRPr="00F62B11">
        <w:rPr>
          <w:rFonts w:eastAsia="DINPro" w:cs="Arial"/>
          <w:b/>
          <w:szCs w:val="24"/>
          <w:lang w:val="et-EE"/>
        </w:rPr>
        <w:t xml:space="preserve"> </w:t>
      </w:r>
    </w:p>
    <w:p w:rsidR="00523692" w:rsidRPr="00F62B11" w:rsidRDefault="00523692" w:rsidP="00F62B11">
      <w:pPr>
        <w:spacing w:after="0" w:line="240" w:lineRule="auto"/>
        <w:rPr>
          <w:rFonts w:eastAsia="DINPro" w:cs="Arial"/>
          <w:szCs w:val="24"/>
          <w:lang w:val="et-EE"/>
        </w:rPr>
      </w:pPr>
    </w:p>
    <w:p w:rsidR="00CF7D85" w:rsidRPr="00F62B11" w:rsidRDefault="00CF7D85" w:rsidP="00F62B11">
      <w:pPr>
        <w:spacing w:after="0" w:line="240" w:lineRule="auto"/>
        <w:rPr>
          <w:rFonts w:eastAsia="DINPro" w:cs="Arial"/>
          <w:szCs w:val="24"/>
          <w:lang w:val="et-EE"/>
        </w:rPr>
      </w:pPr>
      <w:r w:rsidRPr="00F62B11">
        <w:rPr>
          <w:rFonts w:eastAsia="DINPro" w:cs="Arial"/>
          <w:szCs w:val="24"/>
          <w:lang w:val="et-EE"/>
        </w:rPr>
        <w:t xml:space="preserve">Lugupeetud </w:t>
      </w:r>
      <w:r w:rsidR="00921D2E" w:rsidRPr="00F62B11">
        <w:rPr>
          <w:rFonts w:eastAsia="DINPro" w:cs="Arial"/>
          <w:szCs w:val="24"/>
          <w:lang w:val="et-EE"/>
        </w:rPr>
        <w:t>Mart</w:t>
      </w:r>
      <w:r w:rsidR="004F198F" w:rsidRPr="00F62B11">
        <w:rPr>
          <w:rFonts w:eastAsia="DINPro" w:cs="Arial"/>
          <w:szCs w:val="24"/>
          <w:lang w:val="et-EE"/>
        </w:rPr>
        <w:t xml:space="preserve"> Helme</w:t>
      </w:r>
    </w:p>
    <w:p w:rsidR="009E0E71" w:rsidRPr="00F62B11" w:rsidRDefault="009E0E71" w:rsidP="00F62B11">
      <w:pPr>
        <w:spacing w:after="0" w:line="240" w:lineRule="auto"/>
        <w:rPr>
          <w:rFonts w:eastAsia="DINPro" w:cs="Arial"/>
          <w:szCs w:val="24"/>
          <w:lang w:val="et-EE"/>
        </w:rPr>
      </w:pPr>
    </w:p>
    <w:p w:rsidR="00406891" w:rsidRPr="00F62B11" w:rsidRDefault="00406891" w:rsidP="00F62B11">
      <w:pPr>
        <w:spacing w:after="0" w:line="240" w:lineRule="auto"/>
        <w:rPr>
          <w:rFonts w:eastAsia="DINPro" w:cs="Arial"/>
          <w:szCs w:val="24"/>
          <w:lang w:val="et-EE"/>
        </w:rPr>
      </w:pPr>
    </w:p>
    <w:p w:rsidR="005951BD" w:rsidRPr="00F62B11" w:rsidRDefault="00612CE5" w:rsidP="00F62B11">
      <w:pPr>
        <w:spacing w:after="0" w:line="240" w:lineRule="auto"/>
        <w:rPr>
          <w:rFonts w:eastAsia="DINPro" w:cs="Arial"/>
          <w:szCs w:val="24"/>
          <w:lang w:val="et-EE"/>
        </w:rPr>
      </w:pPr>
      <w:r w:rsidRPr="00F62B11">
        <w:rPr>
          <w:rFonts w:eastAsia="DINPro" w:cs="Arial"/>
          <w:szCs w:val="24"/>
          <w:lang w:val="et-EE"/>
        </w:rPr>
        <w:t xml:space="preserve">Eesti Kaubandus-Tööstuskoda (edaspidi: </w:t>
      </w:r>
      <w:r w:rsidRPr="00F62B11">
        <w:rPr>
          <w:rFonts w:eastAsia="DINPro" w:cs="Arial"/>
          <w:b/>
          <w:szCs w:val="24"/>
          <w:lang w:val="et-EE"/>
        </w:rPr>
        <w:t>Kaubanduskoda</w:t>
      </w:r>
      <w:r w:rsidRPr="00F62B11">
        <w:rPr>
          <w:rFonts w:eastAsia="DINPro" w:cs="Arial"/>
          <w:szCs w:val="24"/>
          <w:lang w:val="et-EE"/>
        </w:rPr>
        <w:t xml:space="preserve">) </w:t>
      </w:r>
      <w:r w:rsidR="005A4840" w:rsidRPr="00F62B11">
        <w:rPr>
          <w:rFonts w:eastAsia="DINPro" w:cs="Arial"/>
          <w:szCs w:val="24"/>
          <w:lang w:val="et-EE"/>
        </w:rPr>
        <w:t xml:space="preserve">tänab </w:t>
      </w:r>
      <w:r w:rsidR="00921D2E" w:rsidRPr="00F62B11">
        <w:rPr>
          <w:rFonts w:eastAsia="DINPro" w:cs="Arial"/>
          <w:szCs w:val="24"/>
          <w:lang w:val="et-EE"/>
        </w:rPr>
        <w:t>Sise</w:t>
      </w:r>
      <w:r w:rsidR="005A4840" w:rsidRPr="00F62B11">
        <w:rPr>
          <w:rFonts w:eastAsia="DINPro" w:cs="Arial"/>
          <w:szCs w:val="24"/>
          <w:lang w:val="et-EE"/>
        </w:rPr>
        <w:t>ministeeriumit võimaluse eest avaldada arvamus</w:t>
      </w:r>
      <w:r w:rsidR="00406891" w:rsidRPr="00F62B11">
        <w:rPr>
          <w:rFonts w:eastAsia="DINPro" w:cs="Arial"/>
          <w:szCs w:val="24"/>
          <w:lang w:val="et-EE"/>
        </w:rPr>
        <w:t>t</w:t>
      </w:r>
      <w:r w:rsidR="005A4840" w:rsidRPr="00F62B11">
        <w:rPr>
          <w:rFonts w:cs="Arial"/>
          <w:szCs w:val="24"/>
        </w:rPr>
        <w:t xml:space="preserve"> </w:t>
      </w:r>
      <w:r w:rsidR="005951BD" w:rsidRPr="00F62B11">
        <w:rPr>
          <w:rFonts w:eastAsia="DINPro" w:cs="Arial"/>
          <w:szCs w:val="24"/>
          <w:lang w:val="et-EE"/>
        </w:rPr>
        <w:t>turvategevuse seaduse</w:t>
      </w:r>
      <w:r w:rsidR="004F198F" w:rsidRPr="00F62B11">
        <w:rPr>
          <w:rFonts w:eastAsia="DINPro" w:cs="Arial"/>
          <w:szCs w:val="24"/>
          <w:lang w:val="et-EE"/>
        </w:rPr>
        <w:t xml:space="preserve"> eelnõu</w:t>
      </w:r>
      <w:r w:rsidR="00406891" w:rsidRPr="00F62B11">
        <w:rPr>
          <w:rFonts w:eastAsia="DINPro" w:cs="Arial"/>
          <w:szCs w:val="24"/>
          <w:lang w:val="et-EE"/>
        </w:rPr>
        <w:t xml:space="preserve"> </w:t>
      </w:r>
      <w:r w:rsidR="005951BD" w:rsidRPr="00F62B11">
        <w:rPr>
          <w:rFonts w:eastAsia="DINPro" w:cs="Arial"/>
          <w:szCs w:val="24"/>
          <w:lang w:val="et-EE"/>
        </w:rPr>
        <w:t xml:space="preserve">(edaspidi: </w:t>
      </w:r>
      <w:r w:rsidR="005951BD" w:rsidRPr="00F62B11">
        <w:rPr>
          <w:rFonts w:eastAsia="DINPro" w:cs="Arial"/>
          <w:b/>
          <w:szCs w:val="24"/>
          <w:lang w:val="et-EE"/>
        </w:rPr>
        <w:t>Eelnõu</w:t>
      </w:r>
      <w:r w:rsidR="005951BD" w:rsidRPr="00F62B11">
        <w:rPr>
          <w:rFonts w:eastAsia="DINPro" w:cs="Arial"/>
          <w:szCs w:val="24"/>
          <w:lang w:val="et-EE"/>
        </w:rPr>
        <w:t xml:space="preserve">) </w:t>
      </w:r>
      <w:r w:rsidR="005A4840" w:rsidRPr="00F62B11">
        <w:rPr>
          <w:rFonts w:eastAsia="DINPro" w:cs="Arial"/>
          <w:szCs w:val="24"/>
          <w:lang w:val="et-EE"/>
        </w:rPr>
        <w:t>kohta.</w:t>
      </w:r>
      <w:r w:rsidR="005951BD" w:rsidRPr="00F62B11">
        <w:rPr>
          <w:rFonts w:eastAsia="DINPro" w:cs="Arial"/>
          <w:szCs w:val="24"/>
          <w:lang w:val="et-EE"/>
        </w:rPr>
        <w:t xml:space="preserve"> Järgnevalt esitame oma seisukohad Eelnõus toodud muudatuste kohta.</w:t>
      </w:r>
    </w:p>
    <w:p w:rsidR="00A07DCA" w:rsidRPr="00F62B11" w:rsidRDefault="00A07DCA" w:rsidP="00F62B11">
      <w:pPr>
        <w:spacing w:after="0" w:line="240" w:lineRule="auto"/>
        <w:rPr>
          <w:rFonts w:eastAsia="DINPro" w:cs="Arial"/>
          <w:szCs w:val="24"/>
          <w:lang w:val="et-EE"/>
        </w:rPr>
      </w:pPr>
    </w:p>
    <w:p w:rsidR="005951BD" w:rsidRPr="00F62B11" w:rsidRDefault="005951BD" w:rsidP="00F62B11">
      <w:pPr>
        <w:spacing w:after="0" w:line="240" w:lineRule="auto"/>
        <w:rPr>
          <w:rFonts w:eastAsia="DINPro" w:cs="Arial"/>
          <w:szCs w:val="24"/>
          <w:lang w:val="et-EE"/>
        </w:rPr>
      </w:pPr>
    </w:p>
    <w:p w:rsidR="00807F4B" w:rsidRPr="00F62B11" w:rsidRDefault="00807F4B" w:rsidP="00F62B11">
      <w:pPr>
        <w:pStyle w:val="ListParagraph"/>
        <w:numPr>
          <w:ilvl w:val="0"/>
          <w:numId w:val="16"/>
        </w:numPr>
        <w:spacing w:before="120" w:after="0" w:line="240" w:lineRule="auto"/>
        <w:rPr>
          <w:rFonts w:eastAsia="DINPro" w:cs="Arial"/>
          <w:b/>
          <w:szCs w:val="24"/>
          <w:lang w:val="et-EE"/>
        </w:rPr>
      </w:pPr>
      <w:r w:rsidRPr="00F62B11">
        <w:rPr>
          <w:rFonts w:eastAsia="DINPro" w:cs="Arial"/>
          <w:b/>
          <w:szCs w:val="24"/>
          <w:lang w:val="et-EE"/>
        </w:rPr>
        <w:t>Turvaplaani koostamise kohustus</w:t>
      </w:r>
    </w:p>
    <w:p w:rsidR="00E05147" w:rsidRPr="00F62B11" w:rsidRDefault="00FE0E81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  <w:r w:rsidRPr="00F62B11">
        <w:rPr>
          <w:rFonts w:eastAsia="DINPro" w:cs="Arial"/>
          <w:szCs w:val="24"/>
          <w:lang w:val="et-EE"/>
        </w:rPr>
        <w:t>Eelnõu</w:t>
      </w:r>
      <w:r w:rsidR="00413994" w:rsidRPr="00F62B11">
        <w:rPr>
          <w:rFonts w:eastAsia="DINPro" w:cs="Arial"/>
          <w:szCs w:val="24"/>
          <w:lang w:val="et-EE"/>
        </w:rPr>
        <w:t xml:space="preserve"> §</w:t>
      </w:r>
      <w:r w:rsidR="00807F4B" w:rsidRPr="00F62B11">
        <w:rPr>
          <w:rFonts w:eastAsia="DINPro" w:cs="Arial"/>
          <w:szCs w:val="24"/>
          <w:lang w:val="et-EE"/>
        </w:rPr>
        <w:t xml:space="preserve"> 5 lg 10 sätestab, et mehitatud valvetegevuse aluseks o</w:t>
      </w:r>
      <w:r w:rsidRPr="00F62B11">
        <w:rPr>
          <w:rFonts w:eastAsia="DINPro" w:cs="Arial"/>
          <w:szCs w:val="24"/>
          <w:lang w:val="et-EE"/>
        </w:rPr>
        <w:t>n valveobjekti turvaplaan ning t</w:t>
      </w:r>
      <w:r w:rsidR="00807F4B" w:rsidRPr="00F62B11">
        <w:rPr>
          <w:rFonts w:eastAsia="DINPro" w:cs="Arial"/>
          <w:szCs w:val="24"/>
          <w:lang w:val="et-EE"/>
        </w:rPr>
        <w:t>urvategevuse eeskirja</w:t>
      </w:r>
      <w:r w:rsidR="00E05147" w:rsidRPr="00F62B11">
        <w:rPr>
          <w:rFonts w:eastAsia="DINPro" w:cs="Arial"/>
          <w:szCs w:val="24"/>
          <w:lang w:val="et-EE"/>
        </w:rPr>
        <w:t xml:space="preserve"> (Eelnõu lisa 2)</w:t>
      </w:r>
      <w:r w:rsidR="00807F4B" w:rsidRPr="00F62B11">
        <w:rPr>
          <w:rFonts w:eastAsia="DINPro" w:cs="Arial"/>
          <w:szCs w:val="24"/>
          <w:lang w:val="et-EE"/>
        </w:rPr>
        <w:t xml:space="preserve"> § 3 sätestab, et turvaplaan koostatakse ja esitatakse teenuse tellijale enne valvetegevuse alustamist ning turvaplaani allkirjastab pädev isik. </w:t>
      </w:r>
      <w:r w:rsidR="00E05147" w:rsidRPr="00F62B11">
        <w:rPr>
          <w:rFonts w:eastAsia="DINPro" w:cs="Arial"/>
          <w:szCs w:val="24"/>
          <w:lang w:val="et-EE"/>
        </w:rPr>
        <w:t>Kuigi E</w:t>
      </w:r>
      <w:r w:rsidR="00807F4B" w:rsidRPr="00F62B11">
        <w:rPr>
          <w:rFonts w:eastAsia="DINPro" w:cs="Arial"/>
          <w:szCs w:val="24"/>
          <w:lang w:val="et-EE"/>
        </w:rPr>
        <w:t xml:space="preserve">elnõu seletuskirjas on märgitud, et turvaplaan </w:t>
      </w:r>
      <w:r w:rsidR="00E05147" w:rsidRPr="00F62B11">
        <w:rPr>
          <w:rFonts w:eastAsia="DINPro" w:cs="Arial"/>
          <w:szCs w:val="24"/>
          <w:lang w:val="et-EE"/>
        </w:rPr>
        <w:t>võib olla kirjeldatud ka lepingus, oleme seisukohal, et Eelnõu ja selle lisa</w:t>
      </w:r>
      <w:r w:rsidR="00D2436E" w:rsidRPr="00F62B11">
        <w:rPr>
          <w:rFonts w:eastAsia="DINPro" w:cs="Arial"/>
          <w:szCs w:val="24"/>
          <w:lang w:val="et-EE"/>
        </w:rPr>
        <w:t xml:space="preserve"> 2</w:t>
      </w:r>
      <w:r w:rsidR="00E05147" w:rsidRPr="00F62B11">
        <w:rPr>
          <w:rFonts w:eastAsia="DINPro" w:cs="Arial"/>
          <w:szCs w:val="24"/>
          <w:lang w:val="et-EE"/>
        </w:rPr>
        <w:t xml:space="preserve"> tekst </w:t>
      </w:r>
      <w:r w:rsidR="00D2436E" w:rsidRPr="00F62B11">
        <w:rPr>
          <w:rFonts w:eastAsia="DINPro" w:cs="Arial"/>
          <w:szCs w:val="24"/>
          <w:lang w:val="et-EE"/>
        </w:rPr>
        <w:t>võib jätta</w:t>
      </w:r>
      <w:r w:rsidR="00E05147" w:rsidRPr="00F62B11">
        <w:rPr>
          <w:rFonts w:eastAsia="DINPro" w:cs="Arial"/>
          <w:szCs w:val="24"/>
          <w:lang w:val="et-EE"/>
        </w:rPr>
        <w:t xml:space="preserve"> kohati arusaama, et turvaplaan tuleb koostada </w:t>
      </w:r>
      <w:r w:rsidR="00413994" w:rsidRPr="00F62B11">
        <w:rPr>
          <w:rFonts w:eastAsia="DINPro" w:cs="Arial"/>
          <w:szCs w:val="24"/>
          <w:lang w:val="et-EE"/>
        </w:rPr>
        <w:t xml:space="preserve">siiski </w:t>
      </w:r>
      <w:r w:rsidR="00E05147" w:rsidRPr="00F62B11">
        <w:rPr>
          <w:rFonts w:eastAsia="DINPro" w:cs="Arial"/>
          <w:szCs w:val="24"/>
          <w:lang w:val="et-EE"/>
        </w:rPr>
        <w:t>eraldi dokumendina</w:t>
      </w:r>
      <w:r w:rsidR="00413994" w:rsidRPr="00F62B11">
        <w:rPr>
          <w:rFonts w:eastAsia="DINPro" w:cs="Arial"/>
          <w:szCs w:val="24"/>
          <w:lang w:val="et-EE"/>
        </w:rPr>
        <w:t xml:space="preserve"> ja peab olema eraldi allkirjastatud vastava pädeva isiku poolt</w:t>
      </w:r>
      <w:r w:rsidR="00E05147" w:rsidRPr="00F62B11">
        <w:rPr>
          <w:rFonts w:eastAsia="DINPro" w:cs="Arial"/>
          <w:szCs w:val="24"/>
          <w:lang w:val="et-EE"/>
        </w:rPr>
        <w:t>.</w:t>
      </w:r>
    </w:p>
    <w:p w:rsidR="00E05147" w:rsidRPr="00F62B11" w:rsidRDefault="00E05147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</w:p>
    <w:p w:rsidR="00807F4B" w:rsidRPr="00F62B11" w:rsidRDefault="00E05147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  <w:r w:rsidRPr="00F62B11">
        <w:rPr>
          <w:rFonts w:eastAsia="DINPro" w:cs="Arial"/>
          <w:szCs w:val="24"/>
          <w:u w:val="single"/>
          <w:lang w:val="et-EE"/>
        </w:rPr>
        <w:t>Ettepanek</w:t>
      </w:r>
      <w:r w:rsidRPr="00F62B11">
        <w:rPr>
          <w:rFonts w:eastAsia="DINPro" w:cs="Arial"/>
          <w:szCs w:val="24"/>
          <w:lang w:val="et-EE"/>
        </w:rPr>
        <w:t xml:space="preserve">: </w:t>
      </w:r>
      <w:r w:rsidR="004F23E5" w:rsidRPr="00F62B11">
        <w:rPr>
          <w:rFonts w:eastAsia="DINPro" w:cs="Arial"/>
          <w:szCs w:val="24"/>
          <w:lang w:val="et-EE"/>
        </w:rPr>
        <w:t>õ</w:t>
      </w:r>
      <w:r w:rsidRPr="00F62B11">
        <w:rPr>
          <w:rFonts w:eastAsia="DINPro" w:cs="Arial"/>
          <w:szCs w:val="24"/>
          <w:lang w:val="et-EE"/>
        </w:rPr>
        <w:t xml:space="preserve">igusselguse huvides muuta Eelnõu või selle lisa 2 teksti selliselt, et oleks üheselt selge, et turvaplaani ei pea koostama eraldi dokumendina, vaid et vastav </w:t>
      </w:r>
      <w:r w:rsidR="00807F4B" w:rsidRPr="00F62B11">
        <w:rPr>
          <w:rFonts w:eastAsia="DINPro" w:cs="Arial"/>
          <w:szCs w:val="24"/>
          <w:lang w:val="et-EE"/>
        </w:rPr>
        <w:t xml:space="preserve">tegevusplaan </w:t>
      </w:r>
      <w:r w:rsidRPr="00F62B11">
        <w:rPr>
          <w:rFonts w:eastAsia="DINPro" w:cs="Arial"/>
          <w:szCs w:val="24"/>
          <w:lang w:val="et-EE"/>
        </w:rPr>
        <w:t xml:space="preserve">võib olla </w:t>
      </w:r>
      <w:r w:rsidR="00807F4B" w:rsidRPr="00F62B11">
        <w:rPr>
          <w:rFonts w:eastAsia="DINPro" w:cs="Arial"/>
          <w:szCs w:val="24"/>
          <w:lang w:val="et-EE"/>
        </w:rPr>
        <w:t>osa teenuse tellijaga sõlmitud lepingust.</w:t>
      </w:r>
    </w:p>
    <w:p w:rsidR="00807F4B" w:rsidRPr="00F62B11" w:rsidRDefault="00807F4B" w:rsidP="00F62B11">
      <w:pPr>
        <w:pStyle w:val="ListParagraph"/>
        <w:spacing w:before="120" w:after="0" w:line="240" w:lineRule="auto"/>
        <w:ind w:left="360"/>
        <w:rPr>
          <w:rFonts w:eastAsia="DINPro" w:cs="Arial"/>
          <w:szCs w:val="24"/>
          <w:lang w:val="et-EE"/>
        </w:rPr>
      </w:pPr>
    </w:p>
    <w:p w:rsidR="00615495" w:rsidRPr="00F62B11" w:rsidRDefault="00F62B11" w:rsidP="00F62B11">
      <w:pPr>
        <w:pStyle w:val="ListParagraph"/>
        <w:numPr>
          <w:ilvl w:val="0"/>
          <w:numId w:val="16"/>
        </w:numPr>
        <w:spacing w:before="120"/>
        <w:rPr>
          <w:rFonts w:eastAsia="DINPro" w:cs="Arial"/>
          <w:b/>
          <w:szCs w:val="24"/>
          <w:lang w:val="et-EE"/>
        </w:rPr>
      </w:pPr>
      <w:proofErr w:type="spellStart"/>
      <w:r>
        <w:rPr>
          <w:rFonts w:eastAsia="DINPro" w:cs="Arial"/>
          <w:b/>
          <w:szCs w:val="24"/>
          <w:lang w:val="et-EE"/>
        </w:rPr>
        <w:t>Sisevalvetöötajale</w:t>
      </w:r>
      <w:proofErr w:type="spellEnd"/>
      <w:r>
        <w:rPr>
          <w:rFonts w:eastAsia="DINPro" w:cs="Arial"/>
          <w:b/>
          <w:szCs w:val="24"/>
          <w:lang w:val="et-EE"/>
        </w:rPr>
        <w:t xml:space="preserve"> ja </w:t>
      </w:r>
      <w:proofErr w:type="spellStart"/>
      <w:r>
        <w:rPr>
          <w:rFonts w:eastAsia="DINPro" w:cs="Arial"/>
          <w:b/>
          <w:szCs w:val="24"/>
          <w:lang w:val="et-EE"/>
        </w:rPr>
        <w:t>s</w:t>
      </w:r>
      <w:r w:rsidR="00615495" w:rsidRPr="00F62B11">
        <w:rPr>
          <w:rFonts w:eastAsia="DINPro" w:cs="Arial"/>
          <w:b/>
          <w:szCs w:val="24"/>
          <w:lang w:val="et-EE"/>
        </w:rPr>
        <w:t>isevalve</w:t>
      </w:r>
      <w:proofErr w:type="spellEnd"/>
      <w:r w:rsidR="00615495" w:rsidRPr="00F62B11">
        <w:rPr>
          <w:rFonts w:eastAsia="DINPro" w:cs="Arial"/>
          <w:b/>
          <w:szCs w:val="24"/>
          <w:lang w:val="et-EE"/>
        </w:rPr>
        <w:t xml:space="preserve"> juhile sätestatakse rangemad nõuded</w:t>
      </w:r>
    </w:p>
    <w:p w:rsidR="00615495" w:rsidRPr="00F62B11" w:rsidRDefault="00615495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  <w:r w:rsidRPr="00F62B11">
        <w:rPr>
          <w:rFonts w:eastAsia="DINPro" w:cs="Arial"/>
          <w:szCs w:val="24"/>
          <w:lang w:val="et-EE"/>
        </w:rPr>
        <w:t xml:space="preserve">Eelnõuga sätestatakse, et </w:t>
      </w:r>
      <w:proofErr w:type="spellStart"/>
      <w:r w:rsidRPr="00F62B11">
        <w:rPr>
          <w:rFonts w:eastAsia="DINPro" w:cs="Arial"/>
          <w:szCs w:val="24"/>
          <w:lang w:val="et-EE"/>
        </w:rPr>
        <w:t>sisevalve</w:t>
      </w:r>
      <w:proofErr w:type="spellEnd"/>
      <w:r w:rsidRPr="00F62B11">
        <w:rPr>
          <w:rFonts w:eastAsia="DINPro" w:cs="Arial"/>
          <w:szCs w:val="24"/>
          <w:lang w:val="et-EE"/>
        </w:rPr>
        <w:t xml:space="preserve"> juht peab vastama lisaks turvajuhi kvalifikatsiooni nõuetele ka muudele turvajuhile kehtestatud nõuetele, s.o nõuded isiksuseomadustele ja kõlblusele, käitumisele, eluviisile jm. Täiendatakse ka </w:t>
      </w:r>
      <w:proofErr w:type="spellStart"/>
      <w:r w:rsidRPr="00F62B11">
        <w:rPr>
          <w:rFonts w:eastAsia="DINPro" w:cs="Arial"/>
          <w:szCs w:val="24"/>
          <w:lang w:val="et-EE"/>
        </w:rPr>
        <w:t>sisevalvetöötajale</w:t>
      </w:r>
      <w:proofErr w:type="spellEnd"/>
      <w:r w:rsidRPr="00F62B11">
        <w:rPr>
          <w:rFonts w:eastAsia="DINPro" w:cs="Arial"/>
          <w:szCs w:val="24"/>
          <w:lang w:val="et-EE"/>
        </w:rPr>
        <w:t xml:space="preserve"> esitatavaid nõudeid. Eelnõu § 9 lg 3 järgi peab </w:t>
      </w:r>
      <w:proofErr w:type="spellStart"/>
      <w:r w:rsidRPr="00F62B11">
        <w:rPr>
          <w:rFonts w:eastAsia="DINPro" w:cs="Arial"/>
          <w:szCs w:val="24"/>
          <w:lang w:val="et-EE"/>
        </w:rPr>
        <w:t>sisevalvetöötaja</w:t>
      </w:r>
      <w:proofErr w:type="spellEnd"/>
      <w:r w:rsidRPr="00F62B11">
        <w:rPr>
          <w:rFonts w:eastAsia="DINPro" w:cs="Arial"/>
          <w:szCs w:val="24"/>
          <w:lang w:val="et-EE"/>
        </w:rPr>
        <w:t xml:space="preserve"> omama korrakaitseametniku kutset või vastama turvatöötajale sätestatud nõuetele, mh vanuse, hariduse, kutse ja edaspidiste koolituste, kehalise ettevalmistuse, isiksuseomaduste, tööriietuse jm osas.</w:t>
      </w:r>
    </w:p>
    <w:p w:rsidR="00615495" w:rsidRPr="00F62B11" w:rsidRDefault="00615495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</w:p>
    <w:p w:rsidR="00615495" w:rsidRPr="00F62B11" w:rsidRDefault="00615495" w:rsidP="00F62B11">
      <w:pPr>
        <w:spacing w:before="120" w:after="0" w:line="240" w:lineRule="auto"/>
        <w:rPr>
          <w:rFonts w:eastAsia="DINPro" w:cs="Arial"/>
          <w:szCs w:val="24"/>
        </w:rPr>
      </w:pPr>
      <w:r w:rsidRPr="00F62B11">
        <w:rPr>
          <w:rFonts w:eastAsia="DINPro" w:cs="Arial"/>
          <w:szCs w:val="24"/>
          <w:lang w:val="et-EE"/>
        </w:rPr>
        <w:t xml:space="preserve">Peame positiivseks, et Eelnõuga laiendatakse ka </w:t>
      </w:r>
      <w:proofErr w:type="spellStart"/>
      <w:r w:rsidRPr="00F62B11">
        <w:rPr>
          <w:rFonts w:eastAsia="DINPro" w:cs="Arial"/>
          <w:szCs w:val="24"/>
          <w:lang w:val="et-EE"/>
        </w:rPr>
        <w:t>sisevalve</w:t>
      </w:r>
      <w:proofErr w:type="spellEnd"/>
      <w:r w:rsidRPr="00F62B11">
        <w:rPr>
          <w:rFonts w:eastAsia="DINPro" w:cs="Arial"/>
          <w:szCs w:val="24"/>
          <w:lang w:val="et-EE"/>
        </w:rPr>
        <w:t xml:space="preserve"> korraldamise võimalusi – lisaks valvamisele </w:t>
      </w:r>
      <w:r w:rsidR="00413994" w:rsidRPr="00F62B11">
        <w:rPr>
          <w:rFonts w:eastAsia="DINPro" w:cs="Arial"/>
          <w:szCs w:val="24"/>
          <w:lang w:val="et-EE"/>
        </w:rPr>
        <w:t>saab</w:t>
      </w:r>
      <w:r w:rsidRPr="00F62B11">
        <w:rPr>
          <w:rFonts w:eastAsia="DINPro" w:cs="Arial"/>
          <w:szCs w:val="24"/>
          <w:lang w:val="et-EE"/>
        </w:rPr>
        <w:t xml:space="preserve"> Eelnõu järgi </w:t>
      </w:r>
      <w:proofErr w:type="spellStart"/>
      <w:r w:rsidRPr="00F62B11">
        <w:rPr>
          <w:rFonts w:eastAsia="DINPro" w:cs="Arial"/>
          <w:szCs w:val="24"/>
          <w:lang w:val="et-EE"/>
        </w:rPr>
        <w:t>sisevalvena</w:t>
      </w:r>
      <w:proofErr w:type="spellEnd"/>
      <w:r w:rsidRPr="00F62B11">
        <w:rPr>
          <w:rFonts w:eastAsia="DINPro" w:cs="Arial"/>
          <w:szCs w:val="24"/>
          <w:lang w:val="et-EE"/>
        </w:rPr>
        <w:t xml:space="preserve"> edaspidi </w:t>
      </w:r>
      <w:r w:rsidR="00413994" w:rsidRPr="00F62B11">
        <w:rPr>
          <w:rFonts w:eastAsia="DINPro" w:cs="Arial"/>
          <w:szCs w:val="24"/>
          <w:lang w:val="et-EE"/>
        </w:rPr>
        <w:t xml:space="preserve">korraldada </w:t>
      </w:r>
      <w:r w:rsidRPr="00F62B11">
        <w:rPr>
          <w:rFonts w:eastAsia="DINPro" w:cs="Arial"/>
          <w:szCs w:val="24"/>
          <w:lang w:val="et-EE"/>
        </w:rPr>
        <w:t xml:space="preserve">ka korra pidamist </w:t>
      </w:r>
      <w:r w:rsidRPr="00F62B11">
        <w:rPr>
          <w:rFonts w:eastAsia="DINPro" w:cs="Arial"/>
          <w:szCs w:val="24"/>
          <w:lang w:val="et-EE"/>
        </w:rPr>
        <w:lastRenderedPageBreak/>
        <w:t>j</w:t>
      </w:r>
      <w:r w:rsidR="00660962" w:rsidRPr="00F62B11">
        <w:rPr>
          <w:rFonts w:eastAsia="DINPro" w:cs="Arial"/>
          <w:szCs w:val="24"/>
          <w:lang w:val="et-EE"/>
        </w:rPr>
        <w:t>a kaitsmist (Eelnõu § 9 lg 1). Eelnõu seletuskirja kohaselt on</w:t>
      </w:r>
      <w:r w:rsidRPr="00F62B11">
        <w:rPr>
          <w:rFonts w:eastAsia="DINPro" w:cs="Arial"/>
          <w:szCs w:val="24"/>
          <w:lang w:val="et-EE"/>
        </w:rPr>
        <w:t xml:space="preserve"> </w:t>
      </w:r>
      <w:proofErr w:type="spellStart"/>
      <w:r w:rsidRPr="00F62B11">
        <w:rPr>
          <w:rFonts w:eastAsia="DINPro" w:cs="Arial"/>
          <w:szCs w:val="24"/>
          <w:lang w:val="et-EE"/>
        </w:rPr>
        <w:t>sisevalvetöötajale</w:t>
      </w:r>
      <w:proofErr w:type="spellEnd"/>
      <w:r w:rsidRPr="00F62B11">
        <w:rPr>
          <w:rFonts w:eastAsia="DINPro" w:cs="Arial"/>
          <w:szCs w:val="24"/>
          <w:lang w:val="et-EE"/>
        </w:rPr>
        <w:t xml:space="preserve"> rangemate nõuete sätestamise eesmärk eelkõige tagada </w:t>
      </w:r>
      <w:proofErr w:type="spellStart"/>
      <w:r w:rsidRPr="00F62B11">
        <w:rPr>
          <w:rFonts w:eastAsia="DINPro" w:cs="Arial"/>
          <w:szCs w:val="24"/>
          <w:lang w:val="et-EE"/>
        </w:rPr>
        <w:t>sisevalve</w:t>
      </w:r>
      <w:proofErr w:type="spellEnd"/>
      <w:r w:rsidRPr="00F62B11">
        <w:rPr>
          <w:rFonts w:eastAsia="DINPro" w:cs="Arial"/>
          <w:szCs w:val="24"/>
          <w:lang w:val="et-EE"/>
        </w:rPr>
        <w:t xml:space="preserve"> kõrgem kvaliteet ja isikute põhiõiguste kaitse ning turvaettevõtjate ja </w:t>
      </w:r>
      <w:proofErr w:type="spellStart"/>
      <w:r w:rsidRPr="00F62B11">
        <w:rPr>
          <w:rFonts w:eastAsia="DINPro" w:cs="Arial"/>
          <w:szCs w:val="24"/>
          <w:lang w:val="et-EE"/>
        </w:rPr>
        <w:t>sisevalve</w:t>
      </w:r>
      <w:proofErr w:type="spellEnd"/>
      <w:r w:rsidRPr="00F62B11">
        <w:rPr>
          <w:rFonts w:eastAsia="DINPro" w:cs="Arial"/>
          <w:szCs w:val="24"/>
          <w:lang w:val="et-EE"/>
        </w:rPr>
        <w:t xml:space="preserve"> korraldajate võrdne kohtlemine. Siiski leiame, et </w:t>
      </w:r>
      <w:r w:rsidR="00660962" w:rsidRPr="00F62B11">
        <w:rPr>
          <w:rFonts w:eastAsia="DINPro" w:cs="Arial"/>
          <w:szCs w:val="24"/>
          <w:lang w:val="et-EE"/>
        </w:rPr>
        <w:t>rangemad nõuded ja võrdne kohtlemine on asjakohased</w:t>
      </w:r>
      <w:r w:rsidRPr="00F62B11">
        <w:rPr>
          <w:rFonts w:eastAsia="DINPro" w:cs="Arial"/>
          <w:szCs w:val="24"/>
          <w:lang w:val="et-EE"/>
        </w:rPr>
        <w:t xml:space="preserve"> ainult olukorras,</w:t>
      </w:r>
      <w:r w:rsidR="00413994" w:rsidRPr="00F62B11">
        <w:rPr>
          <w:rFonts w:eastAsia="DINPro" w:cs="Arial"/>
          <w:szCs w:val="24"/>
          <w:lang w:val="et-EE"/>
        </w:rPr>
        <w:t xml:space="preserve"> kus ka tegevuse sisu on </w:t>
      </w:r>
      <w:r w:rsidR="00660962" w:rsidRPr="00F62B11">
        <w:rPr>
          <w:rFonts w:eastAsia="DINPro" w:cs="Arial"/>
          <w:szCs w:val="24"/>
          <w:lang w:val="et-EE"/>
        </w:rPr>
        <w:t xml:space="preserve">nii-öelda </w:t>
      </w:r>
      <w:r w:rsidR="00413994" w:rsidRPr="00F62B11">
        <w:rPr>
          <w:rFonts w:eastAsia="DINPro" w:cs="Arial"/>
          <w:szCs w:val="24"/>
          <w:lang w:val="et-EE"/>
        </w:rPr>
        <w:t>võrdne</w:t>
      </w:r>
      <w:r w:rsidR="00660962" w:rsidRPr="00F62B11">
        <w:rPr>
          <w:rFonts w:eastAsia="DINPro" w:cs="Arial"/>
          <w:szCs w:val="24"/>
          <w:lang w:val="et-EE"/>
        </w:rPr>
        <w:t>. Täpsemalt, on meie hinnangul rangemad nõuded põhjendatud vaid siis, kui</w:t>
      </w:r>
      <w:r w:rsidRPr="00F62B11">
        <w:rPr>
          <w:rFonts w:eastAsia="DINPro" w:cs="Arial"/>
          <w:szCs w:val="24"/>
          <w:lang w:val="et-EE"/>
        </w:rPr>
        <w:t xml:space="preserve"> </w:t>
      </w:r>
      <w:proofErr w:type="spellStart"/>
      <w:r w:rsidRPr="00F62B11">
        <w:rPr>
          <w:rFonts w:eastAsia="DINPro" w:cs="Arial"/>
          <w:szCs w:val="24"/>
          <w:lang w:val="et-EE"/>
        </w:rPr>
        <w:t>sisevalve</w:t>
      </w:r>
      <w:proofErr w:type="spellEnd"/>
      <w:r w:rsidRPr="00F62B11">
        <w:rPr>
          <w:rFonts w:eastAsia="DINPro" w:cs="Arial"/>
          <w:szCs w:val="24"/>
          <w:lang w:val="et-EE"/>
        </w:rPr>
        <w:t xml:space="preserve"> korraldamisel ei ole tegemist pelgalt valvamisega, vaid lisaks sellele toimub ka </w:t>
      </w:r>
      <w:r w:rsidR="00660962" w:rsidRPr="00F62B11">
        <w:rPr>
          <w:rFonts w:eastAsia="DINPro" w:cs="Arial"/>
          <w:szCs w:val="24"/>
          <w:lang w:val="et-EE"/>
        </w:rPr>
        <w:t xml:space="preserve">ulatuslikum tegutsemine – </w:t>
      </w:r>
      <w:r w:rsidRPr="00F62B11">
        <w:rPr>
          <w:rFonts w:eastAsia="DINPro" w:cs="Arial"/>
          <w:szCs w:val="24"/>
          <w:lang w:val="et-EE"/>
        </w:rPr>
        <w:t xml:space="preserve">ohu tõrjumine või rikkumise kõrvaldamine </w:t>
      </w:r>
      <w:proofErr w:type="spellStart"/>
      <w:r w:rsidRPr="00F62B11">
        <w:rPr>
          <w:rFonts w:eastAsia="DINPro" w:cs="Arial"/>
          <w:szCs w:val="24"/>
        </w:rPr>
        <w:t>kohaldades</w:t>
      </w:r>
      <w:proofErr w:type="spellEnd"/>
      <w:r w:rsidRPr="00F62B11">
        <w:rPr>
          <w:rFonts w:eastAsia="DINPro" w:cs="Arial"/>
          <w:szCs w:val="24"/>
        </w:rPr>
        <w:t xml:space="preserve"> </w:t>
      </w:r>
      <w:proofErr w:type="spellStart"/>
      <w:r w:rsidRPr="00F62B11">
        <w:rPr>
          <w:rFonts w:eastAsia="DINPro" w:cs="Arial"/>
          <w:szCs w:val="24"/>
        </w:rPr>
        <w:t>selleks</w:t>
      </w:r>
      <w:proofErr w:type="spellEnd"/>
      <w:r w:rsidRPr="00F62B11">
        <w:rPr>
          <w:rFonts w:eastAsia="DINPro" w:cs="Arial"/>
          <w:szCs w:val="24"/>
        </w:rPr>
        <w:t xml:space="preserve"> </w:t>
      </w:r>
      <w:proofErr w:type="spellStart"/>
      <w:r w:rsidRPr="00F62B11">
        <w:rPr>
          <w:rFonts w:eastAsia="DINPro" w:cs="Arial"/>
          <w:szCs w:val="24"/>
        </w:rPr>
        <w:t>turvatöötajatele</w:t>
      </w:r>
      <w:proofErr w:type="spellEnd"/>
      <w:r w:rsidRPr="00F62B11">
        <w:rPr>
          <w:rFonts w:eastAsia="DINPro" w:cs="Arial"/>
          <w:szCs w:val="24"/>
        </w:rPr>
        <w:t xml:space="preserve"> </w:t>
      </w:r>
      <w:proofErr w:type="spellStart"/>
      <w:r w:rsidRPr="00F62B11">
        <w:rPr>
          <w:rFonts w:eastAsia="DINPro" w:cs="Arial"/>
          <w:szCs w:val="24"/>
        </w:rPr>
        <w:t>ette</w:t>
      </w:r>
      <w:proofErr w:type="spellEnd"/>
      <w:r w:rsidRPr="00F62B11">
        <w:rPr>
          <w:rFonts w:eastAsia="DINPro" w:cs="Arial"/>
          <w:szCs w:val="24"/>
        </w:rPr>
        <w:t xml:space="preserve"> </w:t>
      </w:r>
      <w:proofErr w:type="spellStart"/>
      <w:r w:rsidRPr="00F62B11">
        <w:rPr>
          <w:rFonts w:eastAsia="DINPro" w:cs="Arial"/>
          <w:szCs w:val="24"/>
        </w:rPr>
        <w:t>nähtud</w:t>
      </w:r>
      <w:proofErr w:type="spellEnd"/>
      <w:r w:rsidRPr="00F62B11">
        <w:rPr>
          <w:rFonts w:eastAsia="DINPro" w:cs="Arial"/>
          <w:szCs w:val="24"/>
        </w:rPr>
        <w:t xml:space="preserve"> </w:t>
      </w:r>
      <w:proofErr w:type="spellStart"/>
      <w:r w:rsidRPr="00F62B11">
        <w:rPr>
          <w:rFonts w:eastAsia="DINPro" w:cs="Arial"/>
          <w:szCs w:val="24"/>
        </w:rPr>
        <w:t>meetmeid</w:t>
      </w:r>
      <w:proofErr w:type="spellEnd"/>
      <w:r w:rsidRPr="00F62B11">
        <w:rPr>
          <w:rFonts w:eastAsia="DINPro" w:cs="Arial"/>
          <w:szCs w:val="24"/>
        </w:rPr>
        <w:t>.</w:t>
      </w:r>
      <w:r w:rsidR="00413994" w:rsidRPr="00F62B11">
        <w:rPr>
          <w:rFonts w:eastAsia="DINPro" w:cs="Arial"/>
          <w:szCs w:val="24"/>
        </w:rPr>
        <w:t xml:space="preserve"> </w:t>
      </w:r>
    </w:p>
    <w:p w:rsidR="00615495" w:rsidRPr="00F62B11" w:rsidRDefault="00615495" w:rsidP="00F62B11">
      <w:pPr>
        <w:spacing w:before="120" w:after="0" w:line="240" w:lineRule="auto"/>
        <w:rPr>
          <w:rFonts w:eastAsia="DINPro" w:cs="Arial"/>
          <w:szCs w:val="24"/>
        </w:rPr>
      </w:pPr>
    </w:p>
    <w:p w:rsidR="00615495" w:rsidRPr="00F62B11" w:rsidRDefault="00615495" w:rsidP="00F62B11">
      <w:pPr>
        <w:spacing w:before="120" w:after="0" w:line="240" w:lineRule="auto"/>
        <w:rPr>
          <w:rFonts w:eastAsia="DINPro" w:cs="Arial"/>
          <w:szCs w:val="24"/>
          <w:lang w:val="fi-FI"/>
        </w:rPr>
      </w:pPr>
      <w:proofErr w:type="spellStart"/>
      <w:r w:rsidRPr="00F62B11">
        <w:rPr>
          <w:rFonts w:eastAsia="DINPro" w:cs="Arial"/>
          <w:szCs w:val="24"/>
        </w:rPr>
        <w:t>Eelkõige</w:t>
      </w:r>
      <w:proofErr w:type="spellEnd"/>
      <w:r w:rsidRPr="00F62B11">
        <w:rPr>
          <w:rFonts w:eastAsia="DINPro" w:cs="Arial"/>
          <w:szCs w:val="24"/>
        </w:rPr>
        <w:t xml:space="preserve"> </w:t>
      </w:r>
      <w:proofErr w:type="spellStart"/>
      <w:r w:rsidRPr="00F62B11">
        <w:rPr>
          <w:rFonts w:eastAsia="DINPro" w:cs="Arial"/>
          <w:szCs w:val="24"/>
        </w:rPr>
        <w:t>ei</w:t>
      </w:r>
      <w:proofErr w:type="spellEnd"/>
      <w:r w:rsidRPr="00F62B11">
        <w:rPr>
          <w:rFonts w:eastAsia="DINPro" w:cs="Arial"/>
          <w:szCs w:val="24"/>
        </w:rPr>
        <w:t xml:space="preserve"> ole </w:t>
      </w:r>
      <w:proofErr w:type="spellStart"/>
      <w:r w:rsidRPr="00F62B11">
        <w:rPr>
          <w:rFonts w:eastAsia="DINPro" w:cs="Arial"/>
          <w:szCs w:val="24"/>
        </w:rPr>
        <w:t>Kaubanduskoja</w:t>
      </w:r>
      <w:proofErr w:type="spellEnd"/>
      <w:r w:rsidRPr="00F62B11">
        <w:rPr>
          <w:rFonts w:eastAsia="DINPro" w:cs="Arial"/>
          <w:szCs w:val="24"/>
        </w:rPr>
        <w:t xml:space="preserve"> </w:t>
      </w:r>
      <w:proofErr w:type="spellStart"/>
      <w:r w:rsidRPr="00F62B11">
        <w:rPr>
          <w:rFonts w:eastAsia="DINPro" w:cs="Arial"/>
          <w:szCs w:val="24"/>
        </w:rPr>
        <w:t>hinnangul</w:t>
      </w:r>
      <w:proofErr w:type="spellEnd"/>
      <w:r w:rsidRPr="00F62B11">
        <w:rPr>
          <w:rFonts w:eastAsia="DINPro" w:cs="Arial"/>
          <w:szCs w:val="24"/>
        </w:rPr>
        <w:t xml:space="preserve"> </w:t>
      </w:r>
      <w:proofErr w:type="spellStart"/>
      <w:r w:rsidRPr="00F62B11">
        <w:rPr>
          <w:rFonts w:eastAsia="DINPro" w:cs="Arial"/>
          <w:szCs w:val="24"/>
        </w:rPr>
        <w:t>põhjendatud</w:t>
      </w:r>
      <w:proofErr w:type="spellEnd"/>
      <w:r w:rsidRPr="00F62B11">
        <w:rPr>
          <w:rFonts w:eastAsia="DINPro" w:cs="Arial"/>
          <w:szCs w:val="24"/>
        </w:rPr>
        <w:t xml:space="preserve"> </w:t>
      </w:r>
      <w:proofErr w:type="spellStart"/>
      <w:r w:rsidRPr="00F62B11">
        <w:rPr>
          <w:rFonts w:eastAsia="DINPro" w:cs="Arial"/>
          <w:szCs w:val="24"/>
        </w:rPr>
        <w:t>rangemad</w:t>
      </w:r>
      <w:proofErr w:type="spellEnd"/>
      <w:r w:rsidRPr="00F62B11">
        <w:rPr>
          <w:rFonts w:eastAsia="DINPro" w:cs="Arial"/>
          <w:szCs w:val="24"/>
        </w:rPr>
        <w:t xml:space="preserve"> </w:t>
      </w:r>
      <w:proofErr w:type="spellStart"/>
      <w:r w:rsidRPr="00F62B11">
        <w:rPr>
          <w:rFonts w:eastAsia="DINPro" w:cs="Arial"/>
          <w:szCs w:val="24"/>
        </w:rPr>
        <w:t>nõuded</w:t>
      </w:r>
      <w:proofErr w:type="spellEnd"/>
      <w:r w:rsidRPr="00F62B11">
        <w:rPr>
          <w:rFonts w:eastAsia="DINPro" w:cs="Arial"/>
          <w:szCs w:val="24"/>
        </w:rPr>
        <w:t xml:space="preserve"> </w:t>
      </w:r>
      <w:proofErr w:type="spellStart"/>
      <w:r w:rsidRPr="00F62B11">
        <w:rPr>
          <w:rFonts w:eastAsia="DINPro" w:cs="Arial"/>
          <w:szCs w:val="24"/>
        </w:rPr>
        <w:t>olukorras</w:t>
      </w:r>
      <w:proofErr w:type="spellEnd"/>
      <w:r w:rsidRPr="00F62B11">
        <w:rPr>
          <w:rFonts w:eastAsia="DINPro" w:cs="Arial"/>
          <w:szCs w:val="24"/>
        </w:rPr>
        <w:t xml:space="preserve">, </w:t>
      </w:r>
      <w:proofErr w:type="spellStart"/>
      <w:r w:rsidRPr="00F62B11">
        <w:rPr>
          <w:rFonts w:eastAsia="DINPro" w:cs="Arial"/>
          <w:szCs w:val="24"/>
        </w:rPr>
        <w:t>kus</w:t>
      </w:r>
      <w:proofErr w:type="spellEnd"/>
      <w:r w:rsidRPr="00F62B11">
        <w:rPr>
          <w:rFonts w:eastAsia="DINPro" w:cs="Arial"/>
          <w:szCs w:val="24"/>
        </w:rPr>
        <w:t xml:space="preserve"> </w:t>
      </w:r>
      <w:r w:rsidR="009515C1" w:rsidRPr="00F62B11">
        <w:rPr>
          <w:rFonts w:eastAsia="DINPro" w:cs="Arial"/>
          <w:szCs w:val="24"/>
          <w:lang w:val="et-EE"/>
        </w:rPr>
        <w:t>ettevõtja soovib</w:t>
      </w:r>
      <w:r w:rsidRPr="00F62B11">
        <w:rPr>
          <w:rFonts w:eastAsia="DINPro" w:cs="Arial"/>
          <w:szCs w:val="24"/>
          <w:lang w:val="et-EE"/>
        </w:rPr>
        <w:t xml:space="preserve"> korraldada vaid vara valvamist ohu ennetamiseks ning </w:t>
      </w:r>
      <w:r w:rsidR="00413994" w:rsidRPr="00F62B11">
        <w:rPr>
          <w:rFonts w:eastAsia="DINPro" w:cs="Arial"/>
          <w:szCs w:val="24"/>
          <w:lang w:val="et-EE"/>
        </w:rPr>
        <w:t xml:space="preserve">ohu tekkimise korral kutsutakse </w:t>
      </w:r>
      <w:r w:rsidRPr="00F62B11">
        <w:rPr>
          <w:rFonts w:eastAsia="DINPro" w:cs="Arial"/>
          <w:szCs w:val="24"/>
          <w:lang w:val="et-EE"/>
        </w:rPr>
        <w:t xml:space="preserve">lihtsalt </w:t>
      </w:r>
      <w:r w:rsidR="00413994" w:rsidRPr="00F62B11">
        <w:rPr>
          <w:rFonts w:eastAsia="DINPro" w:cs="Arial"/>
          <w:szCs w:val="24"/>
          <w:lang w:val="et-EE"/>
        </w:rPr>
        <w:t xml:space="preserve">kohale </w:t>
      </w:r>
      <w:r w:rsidRPr="00F62B11">
        <w:rPr>
          <w:rFonts w:eastAsia="DINPro" w:cs="Arial"/>
          <w:szCs w:val="24"/>
          <w:lang w:val="et-EE"/>
        </w:rPr>
        <w:t>politsei</w:t>
      </w:r>
      <w:r w:rsidR="00413994" w:rsidRPr="00F62B11">
        <w:rPr>
          <w:rFonts w:eastAsia="DINPro" w:cs="Arial"/>
          <w:szCs w:val="24"/>
          <w:lang w:val="et-EE"/>
        </w:rPr>
        <w:t>ametnikud</w:t>
      </w:r>
      <w:r w:rsidRPr="00F62B11">
        <w:rPr>
          <w:rFonts w:eastAsia="DINPro" w:cs="Arial"/>
          <w:szCs w:val="24"/>
          <w:lang w:val="et-EE"/>
        </w:rPr>
        <w:t xml:space="preserve"> või kui </w:t>
      </w:r>
      <w:proofErr w:type="spellStart"/>
      <w:r w:rsidRPr="00F62B11">
        <w:rPr>
          <w:rFonts w:eastAsia="DINPro" w:cs="Arial"/>
          <w:szCs w:val="24"/>
          <w:lang w:val="et-EE"/>
        </w:rPr>
        <w:t>sisevalvet</w:t>
      </w:r>
      <w:proofErr w:type="spellEnd"/>
      <w:r w:rsidRPr="00F62B11">
        <w:rPr>
          <w:rFonts w:eastAsia="DINPro" w:cs="Arial"/>
          <w:szCs w:val="24"/>
          <w:lang w:val="et-EE"/>
        </w:rPr>
        <w:t xml:space="preserve"> teostatakse kohas, mis ei ole avalik ega poolavalik, vaid seal liiguvad peamiselt vaid ettevõtja enda töötajad. Need on kohad, kus </w:t>
      </w:r>
      <w:proofErr w:type="spellStart"/>
      <w:r w:rsidRPr="00F62B11">
        <w:rPr>
          <w:rFonts w:eastAsia="DINPro" w:cs="Arial"/>
          <w:szCs w:val="24"/>
          <w:lang w:val="et-EE"/>
        </w:rPr>
        <w:t>sisevalvetöötaja</w:t>
      </w:r>
      <w:proofErr w:type="spellEnd"/>
      <w:r w:rsidRPr="00F62B11">
        <w:rPr>
          <w:rFonts w:eastAsia="DINPro" w:cs="Arial"/>
          <w:szCs w:val="24"/>
          <w:lang w:val="et-EE"/>
        </w:rPr>
        <w:t xml:space="preserve"> ei puutu töökohustuste täitmisel kokku kolmandate isikutega nii nagu turvatöötajad, näiteks ettevõtte laos, kontoris </w:t>
      </w:r>
      <w:r w:rsidR="00413994" w:rsidRPr="00F62B11">
        <w:rPr>
          <w:rFonts w:eastAsia="DINPro" w:cs="Arial"/>
          <w:szCs w:val="24"/>
          <w:lang w:val="et-EE"/>
        </w:rPr>
        <w:t xml:space="preserve">vms </w:t>
      </w:r>
      <w:r w:rsidRPr="00F62B11">
        <w:rPr>
          <w:rFonts w:eastAsia="DINPro" w:cs="Arial"/>
          <w:szCs w:val="24"/>
          <w:lang w:val="et-EE"/>
        </w:rPr>
        <w:t xml:space="preserve">kohas. Ka Eelnõu seletuskirjas on välja toodud, et </w:t>
      </w:r>
      <w:proofErr w:type="spellStart"/>
      <w:r w:rsidRPr="00F62B11">
        <w:rPr>
          <w:rFonts w:eastAsia="DINPro" w:cs="Arial"/>
          <w:szCs w:val="24"/>
          <w:lang w:val="et-EE"/>
        </w:rPr>
        <w:t>sisevalve</w:t>
      </w:r>
      <w:proofErr w:type="spellEnd"/>
      <w:r w:rsidRPr="00F62B11">
        <w:rPr>
          <w:rFonts w:eastAsia="DINPro" w:cs="Arial"/>
          <w:szCs w:val="24"/>
          <w:lang w:val="et-EE"/>
        </w:rPr>
        <w:t xml:space="preserve"> regulatsiooni põhjalikum reguleerimine on vajalik peamiselt siis, kui </w:t>
      </w:r>
      <w:proofErr w:type="spellStart"/>
      <w:r w:rsidRPr="00F62B11">
        <w:rPr>
          <w:rFonts w:eastAsia="DINPro" w:cs="Arial"/>
          <w:szCs w:val="24"/>
          <w:lang w:val="et-EE"/>
        </w:rPr>
        <w:t>sisevalvetöötajad</w:t>
      </w:r>
      <w:proofErr w:type="spellEnd"/>
      <w:r w:rsidRPr="00F62B11">
        <w:rPr>
          <w:rFonts w:eastAsia="DINPro" w:cs="Arial"/>
          <w:szCs w:val="24"/>
          <w:lang w:val="et-EE"/>
        </w:rPr>
        <w:t xml:space="preserve"> asuvad tegutsema poolavalikes või avalikes kohtades ja puutuvad kokku inimestega, kes ei ole osa ettevõtte töötajaskonnast (lk 22). </w:t>
      </w:r>
      <w:proofErr w:type="spellStart"/>
      <w:r w:rsidRPr="00F62B11">
        <w:rPr>
          <w:rFonts w:eastAsia="DINPro" w:cs="Arial"/>
          <w:szCs w:val="24"/>
          <w:lang w:val="fi-FI"/>
        </w:rPr>
        <w:t>Muudel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juhtudel</w:t>
      </w:r>
      <w:proofErr w:type="spellEnd"/>
      <w:r w:rsidRPr="00F62B11">
        <w:rPr>
          <w:rFonts w:eastAsia="DINPro" w:cs="Arial"/>
          <w:szCs w:val="24"/>
          <w:lang w:val="fi-FI"/>
        </w:rPr>
        <w:t xml:space="preserve"> ei ole </w:t>
      </w:r>
      <w:proofErr w:type="spellStart"/>
      <w:r w:rsidRPr="00F62B11">
        <w:rPr>
          <w:rFonts w:eastAsia="DINPro" w:cs="Arial"/>
          <w:szCs w:val="24"/>
          <w:lang w:val="fi-FI"/>
        </w:rPr>
        <w:t>Kaubanduskoja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hinnangul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rangemate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nõuete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kehtestamine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vajalik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ega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põhjendatud</w:t>
      </w:r>
      <w:proofErr w:type="spellEnd"/>
      <w:r w:rsidRPr="00F62B11">
        <w:rPr>
          <w:rFonts w:eastAsia="DINPro" w:cs="Arial"/>
          <w:szCs w:val="24"/>
          <w:lang w:val="fi-FI"/>
        </w:rPr>
        <w:t xml:space="preserve">. </w:t>
      </w:r>
      <w:proofErr w:type="spellStart"/>
      <w:r w:rsidRPr="00F62B11">
        <w:rPr>
          <w:rFonts w:eastAsia="DINPro" w:cs="Arial"/>
          <w:szCs w:val="24"/>
          <w:lang w:val="fi-FI"/>
        </w:rPr>
        <w:t>Rangemad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nõuded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piiravad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ettevõtja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õigust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korraldada</w:t>
      </w:r>
      <w:proofErr w:type="spellEnd"/>
      <w:r w:rsidRPr="00F62B11">
        <w:rPr>
          <w:rFonts w:eastAsia="DINPro" w:cs="Arial"/>
          <w:szCs w:val="24"/>
          <w:lang w:val="fi-FI"/>
        </w:rPr>
        <w:t xml:space="preserve"> oma </w:t>
      </w:r>
      <w:proofErr w:type="spellStart"/>
      <w:r w:rsidRPr="00F62B11">
        <w:rPr>
          <w:rFonts w:eastAsia="DINPro" w:cs="Arial"/>
          <w:szCs w:val="24"/>
          <w:lang w:val="fi-FI"/>
        </w:rPr>
        <w:t>tegevust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enda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äranägemise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järgi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ning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võimalust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ise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otsustada</w:t>
      </w:r>
      <w:proofErr w:type="spellEnd"/>
      <w:r w:rsidRPr="00F62B11">
        <w:rPr>
          <w:rFonts w:eastAsia="DINPro" w:cs="Arial"/>
          <w:szCs w:val="24"/>
          <w:lang w:val="fi-FI"/>
        </w:rPr>
        <w:t xml:space="preserve">, </w:t>
      </w:r>
      <w:proofErr w:type="spellStart"/>
      <w:r w:rsidRPr="00F62B11">
        <w:rPr>
          <w:rFonts w:eastAsia="DINPro" w:cs="Arial"/>
          <w:szCs w:val="24"/>
          <w:lang w:val="fi-FI"/>
        </w:rPr>
        <w:t>kuidas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tagada</w:t>
      </w:r>
      <w:proofErr w:type="spellEnd"/>
      <w:r w:rsidRPr="00F62B11">
        <w:rPr>
          <w:rFonts w:eastAsia="DINPro" w:cs="Arial"/>
          <w:szCs w:val="24"/>
          <w:lang w:val="fi-FI"/>
        </w:rPr>
        <w:t xml:space="preserve"> oma </w:t>
      </w:r>
      <w:proofErr w:type="spellStart"/>
      <w:r w:rsidRPr="00F62B11">
        <w:rPr>
          <w:rFonts w:eastAsia="DINPro" w:cs="Arial"/>
          <w:szCs w:val="24"/>
          <w:lang w:val="fi-FI"/>
        </w:rPr>
        <w:t>töötajate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ohutust</w:t>
      </w:r>
      <w:proofErr w:type="spellEnd"/>
      <w:r w:rsidRPr="00F62B11">
        <w:rPr>
          <w:rFonts w:eastAsia="DINPro" w:cs="Arial"/>
          <w:szCs w:val="24"/>
          <w:lang w:val="fi-FI"/>
        </w:rPr>
        <w:t xml:space="preserve">. </w:t>
      </w:r>
      <w:proofErr w:type="spellStart"/>
      <w:r w:rsidRPr="00F62B11">
        <w:rPr>
          <w:rFonts w:eastAsia="DINPro" w:cs="Arial"/>
          <w:szCs w:val="24"/>
          <w:lang w:val="fi-FI"/>
        </w:rPr>
        <w:t>Samuti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piirab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sisevalvetöötajale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rangemate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nõuete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kehtestamine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ettevõtja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võimalust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ise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valida</w:t>
      </w:r>
      <w:proofErr w:type="spellEnd"/>
      <w:r w:rsidRPr="00F62B11">
        <w:rPr>
          <w:rFonts w:eastAsia="DINPro" w:cs="Arial"/>
          <w:szCs w:val="24"/>
          <w:lang w:val="fi-FI"/>
        </w:rPr>
        <w:t xml:space="preserve">, </w:t>
      </w:r>
      <w:proofErr w:type="spellStart"/>
      <w:r w:rsidRPr="00F62B11">
        <w:rPr>
          <w:rFonts w:eastAsia="DINPro" w:cs="Arial"/>
          <w:szCs w:val="24"/>
          <w:lang w:val="fi-FI"/>
        </w:rPr>
        <w:t>keda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palgata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lihtsamateks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valvetöödeks</w:t>
      </w:r>
      <w:proofErr w:type="spellEnd"/>
      <w:r w:rsidRPr="00F62B11">
        <w:rPr>
          <w:rFonts w:eastAsia="DINPro" w:cs="Arial"/>
          <w:szCs w:val="24"/>
          <w:lang w:val="fi-FI"/>
        </w:rPr>
        <w:t xml:space="preserve">, </w:t>
      </w:r>
      <w:proofErr w:type="spellStart"/>
      <w:r w:rsidRPr="00F62B11">
        <w:rPr>
          <w:rFonts w:eastAsia="DINPro" w:cs="Arial"/>
          <w:szCs w:val="24"/>
          <w:lang w:val="fi-FI"/>
        </w:rPr>
        <w:t>kus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tegelikkuses</w:t>
      </w:r>
      <w:proofErr w:type="spellEnd"/>
      <w:r w:rsidRPr="00F62B11">
        <w:rPr>
          <w:rFonts w:eastAsia="DINPro" w:cs="Arial"/>
          <w:szCs w:val="24"/>
          <w:lang w:val="fi-FI"/>
        </w:rPr>
        <w:t xml:space="preserve"> ei </w:t>
      </w:r>
      <w:proofErr w:type="spellStart"/>
      <w:r w:rsidRPr="00F62B11">
        <w:rPr>
          <w:rFonts w:eastAsia="DINPro" w:cs="Arial"/>
          <w:szCs w:val="24"/>
          <w:lang w:val="fi-FI"/>
        </w:rPr>
        <w:t>olegi</w:t>
      </w:r>
      <w:proofErr w:type="spellEnd"/>
      <w:r w:rsidRPr="00F62B11">
        <w:rPr>
          <w:rFonts w:eastAsia="DINPro" w:cs="Arial"/>
          <w:szCs w:val="24"/>
          <w:lang w:val="fi-FI"/>
        </w:rPr>
        <w:t xml:space="preserve"> vaja </w:t>
      </w:r>
      <w:proofErr w:type="spellStart"/>
      <w:r w:rsidRPr="00F62B11">
        <w:rPr>
          <w:rFonts w:eastAsia="DINPro" w:cs="Arial"/>
          <w:szCs w:val="24"/>
          <w:lang w:val="fi-FI"/>
        </w:rPr>
        <w:t>turvatöötajale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omast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kehalist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ettevalmistust</w:t>
      </w:r>
      <w:proofErr w:type="spellEnd"/>
      <w:r w:rsidRPr="00F62B11">
        <w:rPr>
          <w:rFonts w:eastAsia="DINPro" w:cs="Arial"/>
          <w:szCs w:val="24"/>
          <w:lang w:val="fi-FI"/>
        </w:rPr>
        <w:t xml:space="preserve">, </w:t>
      </w:r>
      <w:proofErr w:type="spellStart"/>
      <w:r w:rsidR="004F23E5" w:rsidRPr="00F62B11">
        <w:rPr>
          <w:rFonts w:eastAsia="DINPro" w:cs="Arial"/>
          <w:szCs w:val="24"/>
          <w:lang w:val="fi-FI"/>
        </w:rPr>
        <w:t>väljaõpet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vms</w:t>
      </w:r>
      <w:proofErr w:type="spellEnd"/>
      <w:r w:rsidRPr="00F62B11">
        <w:rPr>
          <w:rFonts w:eastAsia="DINPro" w:cs="Arial"/>
          <w:szCs w:val="24"/>
          <w:lang w:val="fi-FI"/>
        </w:rPr>
        <w:t>.</w:t>
      </w:r>
    </w:p>
    <w:p w:rsidR="00615495" w:rsidRPr="00F62B11" w:rsidRDefault="00615495" w:rsidP="00F62B11">
      <w:pPr>
        <w:spacing w:before="120" w:after="0" w:line="240" w:lineRule="auto"/>
        <w:rPr>
          <w:rFonts w:eastAsia="DINPro" w:cs="Arial"/>
          <w:szCs w:val="24"/>
          <w:lang w:val="fi-FI"/>
        </w:rPr>
      </w:pPr>
    </w:p>
    <w:p w:rsidR="00615495" w:rsidRPr="00F62B11" w:rsidRDefault="00615495" w:rsidP="00F62B11">
      <w:pPr>
        <w:spacing w:before="120" w:after="0" w:line="240" w:lineRule="auto"/>
        <w:rPr>
          <w:rFonts w:eastAsia="DINPro" w:cs="Arial"/>
          <w:szCs w:val="24"/>
          <w:lang w:val="fi-FI"/>
        </w:rPr>
      </w:pPr>
      <w:proofErr w:type="spellStart"/>
      <w:r w:rsidRPr="00F62B11">
        <w:rPr>
          <w:rFonts w:eastAsia="DINPro" w:cs="Arial"/>
          <w:szCs w:val="24"/>
          <w:u w:val="single"/>
          <w:lang w:val="fi-FI"/>
        </w:rPr>
        <w:t>Ettepanek</w:t>
      </w:r>
      <w:proofErr w:type="spellEnd"/>
      <w:r w:rsidR="004F23E5" w:rsidRPr="00F62B11">
        <w:rPr>
          <w:rFonts w:eastAsia="DINPro" w:cs="Arial"/>
          <w:szCs w:val="24"/>
          <w:lang w:val="fi-FI"/>
        </w:rPr>
        <w:t xml:space="preserve">: </w:t>
      </w:r>
      <w:proofErr w:type="spellStart"/>
      <w:r w:rsidR="004F23E5" w:rsidRPr="00F62B11">
        <w:rPr>
          <w:rFonts w:eastAsia="DINPro" w:cs="Arial"/>
          <w:szCs w:val="24"/>
          <w:lang w:val="fi-FI"/>
        </w:rPr>
        <w:t>Sisevalve</w:t>
      </w:r>
      <w:proofErr w:type="spellEnd"/>
      <w:r w:rsidR="004F23E5"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="004F23E5" w:rsidRPr="00F62B11">
        <w:rPr>
          <w:rFonts w:eastAsia="DINPro" w:cs="Arial"/>
          <w:szCs w:val="24"/>
          <w:lang w:val="fi-FI"/>
        </w:rPr>
        <w:t>korraldamisele</w:t>
      </w:r>
      <w:proofErr w:type="spellEnd"/>
      <w:r w:rsidR="004F23E5" w:rsidRPr="00F62B11">
        <w:rPr>
          <w:rFonts w:eastAsia="DINPro" w:cs="Arial"/>
          <w:szCs w:val="24"/>
          <w:lang w:val="fi-FI"/>
        </w:rPr>
        <w:t xml:space="preserve">, </w:t>
      </w:r>
      <w:proofErr w:type="spellStart"/>
      <w:r w:rsidR="004F23E5" w:rsidRPr="00F62B11">
        <w:rPr>
          <w:rFonts w:eastAsia="DINPro" w:cs="Arial"/>
          <w:szCs w:val="24"/>
          <w:lang w:val="fi-FI"/>
        </w:rPr>
        <w:t>sisevalvetöötajale</w:t>
      </w:r>
      <w:proofErr w:type="spellEnd"/>
      <w:r w:rsidR="004F23E5" w:rsidRPr="00F62B11">
        <w:rPr>
          <w:rFonts w:eastAsia="DINPro" w:cs="Arial"/>
          <w:szCs w:val="24"/>
          <w:lang w:val="fi-FI"/>
        </w:rPr>
        <w:t xml:space="preserve"> ja </w:t>
      </w:r>
      <w:proofErr w:type="spellStart"/>
      <w:r w:rsidR="004F23E5" w:rsidRPr="00F62B11">
        <w:rPr>
          <w:rFonts w:eastAsia="DINPro" w:cs="Arial"/>
          <w:szCs w:val="24"/>
          <w:lang w:val="fi-FI"/>
        </w:rPr>
        <w:t>sisevalve</w:t>
      </w:r>
      <w:proofErr w:type="spellEnd"/>
      <w:r w:rsidR="004F23E5"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="004F23E5" w:rsidRPr="00F62B11">
        <w:rPr>
          <w:rFonts w:eastAsia="DINPro" w:cs="Arial"/>
          <w:szCs w:val="24"/>
          <w:lang w:val="fi-FI"/>
        </w:rPr>
        <w:t>juhile</w:t>
      </w:r>
      <w:proofErr w:type="spellEnd"/>
      <w:r w:rsidR="004F23E5"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="004F23E5" w:rsidRPr="00F62B11">
        <w:rPr>
          <w:rFonts w:eastAsia="DINPro" w:cs="Arial"/>
          <w:szCs w:val="24"/>
          <w:lang w:val="fi-FI"/>
        </w:rPr>
        <w:t>peaksid</w:t>
      </w:r>
      <w:proofErr w:type="spellEnd"/>
      <w:r w:rsidR="004F23E5"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="004F23E5" w:rsidRPr="00F62B11">
        <w:rPr>
          <w:rFonts w:eastAsia="DINPro" w:cs="Arial"/>
          <w:szCs w:val="24"/>
          <w:lang w:val="fi-FI"/>
        </w:rPr>
        <w:t>kehtima</w:t>
      </w:r>
      <w:proofErr w:type="spellEnd"/>
      <w:r w:rsidR="004F23E5"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="004F23E5" w:rsidRPr="00F62B11">
        <w:rPr>
          <w:rFonts w:eastAsia="DINPro" w:cs="Arial"/>
          <w:szCs w:val="24"/>
          <w:lang w:val="fi-FI"/>
        </w:rPr>
        <w:t>rangemad</w:t>
      </w:r>
      <w:proofErr w:type="spellEnd"/>
      <w:r w:rsidR="004F23E5"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="004F23E5" w:rsidRPr="00F62B11">
        <w:rPr>
          <w:rFonts w:eastAsia="DINPro" w:cs="Arial"/>
          <w:szCs w:val="24"/>
          <w:lang w:val="fi-FI"/>
        </w:rPr>
        <w:t>nõuded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="004F23E5" w:rsidRPr="00F62B11">
        <w:rPr>
          <w:rFonts w:eastAsia="DINPro" w:cs="Arial"/>
          <w:szCs w:val="24"/>
          <w:lang w:val="fi-FI"/>
        </w:rPr>
        <w:t>ainult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olukorras</w:t>
      </w:r>
      <w:proofErr w:type="spellEnd"/>
      <w:r w:rsidRPr="00F62B11">
        <w:rPr>
          <w:rFonts w:eastAsia="DINPro" w:cs="Arial"/>
          <w:szCs w:val="24"/>
          <w:lang w:val="fi-FI"/>
        </w:rPr>
        <w:t xml:space="preserve">, </w:t>
      </w:r>
      <w:proofErr w:type="spellStart"/>
      <w:r w:rsidRPr="00F62B11">
        <w:rPr>
          <w:rFonts w:eastAsia="DINPro" w:cs="Arial"/>
          <w:szCs w:val="24"/>
          <w:lang w:val="fi-FI"/>
        </w:rPr>
        <w:t>kus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täidetakse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turvatöötajaga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sisult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samalaadseid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ülesandeid</w:t>
      </w:r>
      <w:proofErr w:type="spellEnd"/>
      <w:r w:rsidRPr="00F62B11">
        <w:rPr>
          <w:rFonts w:eastAsia="DINPro" w:cs="Arial"/>
          <w:szCs w:val="24"/>
          <w:lang w:val="fi-FI"/>
        </w:rPr>
        <w:t xml:space="preserve"> (</w:t>
      </w:r>
      <w:proofErr w:type="spellStart"/>
      <w:r w:rsidRPr="00F62B11">
        <w:rPr>
          <w:rFonts w:eastAsia="DINPro" w:cs="Arial"/>
          <w:szCs w:val="24"/>
          <w:lang w:val="fi-FI"/>
        </w:rPr>
        <w:t>eelkõige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kaitsmine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ja </w:t>
      </w:r>
      <w:proofErr w:type="spellStart"/>
      <w:r w:rsidRPr="00F62B11">
        <w:rPr>
          <w:rFonts w:eastAsia="DINPro" w:cs="Arial"/>
          <w:szCs w:val="24"/>
          <w:lang w:val="fi-FI"/>
        </w:rPr>
        <w:t>vastavate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meetmete</w:t>
      </w:r>
      <w:proofErr w:type="spellEnd"/>
      <w:r w:rsidRPr="00F62B11">
        <w:rPr>
          <w:rFonts w:eastAsia="DINPro" w:cs="Arial"/>
          <w:szCs w:val="24"/>
          <w:lang w:val="fi-FI"/>
        </w:rPr>
        <w:t xml:space="preserve"> </w:t>
      </w:r>
      <w:proofErr w:type="spellStart"/>
      <w:r w:rsidRPr="00F62B11">
        <w:rPr>
          <w:rFonts w:eastAsia="DINPro" w:cs="Arial"/>
          <w:szCs w:val="24"/>
          <w:lang w:val="fi-FI"/>
        </w:rPr>
        <w:t>kasutamine</w:t>
      </w:r>
      <w:proofErr w:type="spellEnd"/>
      <w:r w:rsidRPr="00F62B11">
        <w:rPr>
          <w:rFonts w:eastAsia="DINPro" w:cs="Arial"/>
          <w:szCs w:val="24"/>
          <w:lang w:val="fi-FI"/>
        </w:rPr>
        <w:t>)</w:t>
      </w:r>
      <w:r w:rsidR="004F23E5" w:rsidRPr="00F62B11">
        <w:rPr>
          <w:rFonts w:eastAsia="DINPro" w:cs="Arial"/>
          <w:szCs w:val="24"/>
          <w:lang w:val="fi-FI"/>
        </w:rPr>
        <w:t>.</w:t>
      </w:r>
    </w:p>
    <w:p w:rsidR="00927614" w:rsidRPr="00F62B11" w:rsidRDefault="00927614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</w:p>
    <w:p w:rsidR="00615495" w:rsidRPr="00F62B11" w:rsidRDefault="00615495" w:rsidP="00F62B11">
      <w:pPr>
        <w:pStyle w:val="ListParagraph"/>
        <w:numPr>
          <w:ilvl w:val="0"/>
          <w:numId w:val="16"/>
        </w:numPr>
        <w:spacing w:before="120" w:after="0" w:line="240" w:lineRule="auto"/>
        <w:rPr>
          <w:rFonts w:eastAsia="DINPro" w:cs="Arial"/>
          <w:b/>
          <w:szCs w:val="24"/>
          <w:lang w:val="et-EE"/>
        </w:rPr>
      </w:pPr>
      <w:r w:rsidRPr="00F62B11">
        <w:rPr>
          <w:rFonts w:eastAsia="DINPro" w:cs="Arial"/>
          <w:b/>
          <w:szCs w:val="24"/>
          <w:lang w:val="et-EE"/>
        </w:rPr>
        <w:t>Kriminaalmenetluses kahtlustatav või süüdistatav isik</w:t>
      </w:r>
    </w:p>
    <w:p w:rsidR="00615495" w:rsidRDefault="00615495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  <w:r w:rsidRPr="00F62B11">
        <w:rPr>
          <w:rFonts w:eastAsia="DINPro" w:cs="Arial"/>
          <w:szCs w:val="24"/>
          <w:lang w:val="et-EE"/>
        </w:rPr>
        <w:t>Eelnõu § 10 lg 1 punkti 3 kohaselt peab turvaettevõtja tagama, et turvaettevõtja või temaga seotud isik ei ole kriminaalmenetluses kahtlustatav või süüdistatav.</w:t>
      </w:r>
    </w:p>
    <w:p w:rsidR="00F62B11" w:rsidRPr="00F62B11" w:rsidRDefault="00F62B11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</w:p>
    <w:p w:rsidR="00F62B11" w:rsidRPr="00F62B11" w:rsidRDefault="00615495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  <w:r w:rsidRPr="00F62B11">
        <w:rPr>
          <w:rFonts w:eastAsia="DINPro" w:cs="Arial"/>
          <w:szCs w:val="24"/>
          <w:lang w:val="et-EE"/>
        </w:rPr>
        <w:t>Kaubanduskojale jääb ebaselgeks, kuidas saab turvaettevõtja tagada, et tema või temaga seotud isik ei ole kriminaalmenetluses kahtlustatav või süüdistatav.</w:t>
      </w:r>
      <w:r w:rsidR="00C100BD" w:rsidRPr="00F62B11">
        <w:rPr>
          <w:rFonts w:eastAsia="DINPro" w:cs="Arial"/>
          <w:szCs w:val="24"/>
          <w:lang w:val="et-EE"/>
        </w:rPr>
        <w:t xml:space="preserve"> Meile teadaolevalt ei ole turvaettevõtjal võimalik vastavaid asjaolusid kuskilt kontrollida.</w:t>
      </w:r>
    </w:p>
    <w:p w:rsidR="009515C1" w:rsidRDefault="00C100BD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  <w:r w:rsidRPr="00F62B11">
        <w:rPr>
          <w:rFonts w:eastAsia="DINPro" w:cs="Arial"/>
          <w:szCs w:val="24"/>
          <w:lang w:val="et-EE"/>
        </w:rPr>
        <w:t xml:space="preserve">Samuti on meie hinnangul </w:t>
      </w:r>
      <w:r w:rsidR="00785C73" w:rsidRPr="00F62B11">
        <w:rPr>
          <w:rFonts w:eastAsia="DINPro" w:cs="Arial"/>
          <w:szCs w:val="24"/>
          <w:lang w:val="et-EE"/>
        </w:rPr>
        <w:t xml:space="preserve">küsitav, kas </w:t>
      </w:r>
      <w:r w:rsidRPr="00F62B11">
        <w:rPr>
          <w:rFonts w:eastAsia="DINPro" w:cs="Arial"/>
          <w:szCs w:val="24"/>
          <w:lang w:val="et-EE"/>
        </w:rPr>
        <w:t>tegutsemise piirangu seadmine isikule enne, kui tema kohta on jõustunud süüdimõistev kohtuotsus</w:t>
      </w:r>
      <w:r w:rsidR="00785C73" w:rsidRPr="00F62B11">
        <w:rPr>
          <w:rFonts w:eastAsia="DINPro" w:cs="Arial"/>
          <w:szCs w:val="24"/>
          <w:lang w:val="et-EE"/>
        </w:rPr>
        <w:t>, on asjakohane ning põhjendatud</w:t>
      </w:r>
      <w:r w:rsidRPr="00F62B11">
        <w:rPr>
          <w:rFonts w:eastAsia="DINPro" w:cs="Arial"/>
          <w:szCs w:val="24"/>
          <w:lang w:val="et-EE"/>
        </w:rPr>
        <w:t xml:space="preserve">. Sarnane piirang on sätestatud ka turvatöötajale </w:t>
      </w:r>
      <w:r w:rsidR="009515C1" w:rsidRPr="00F62B11">
        <w:rPr>
          <w:rFonts w:eastAsia="DINPro" w:cs="Arial"/>
          <w:szCs w:val="24"/>
          <w:lang w:val="et-EE"/>
        </w:rPr>
        <w:t>Eelnõu §</w:t>
      </w:r>
      <w:r w:rsidRPr="00F62B11">
        <w:rPr>
          <w:rFonts w:eastAsia="DINPro" w:cs="Arial"/>
          <w:szCs w:val="24"/>
          <w:lang w:val="et-EE"/>
        </w:rPr>
        <w:t xml:space="preserve"> 16</w:t>
      </w:r>
      <w:r w:rsidR="009515C1" w:rsidRPr="00F62B11">
        <w:rPr>
          <w:rFonts w:eastAsia="DINPro" w:cs="Arial"/>
          <w:szCs w:val="24"/>
          <w:lang w:val="et-EE"/>
        </w:rPr>
        <w:t xml:space="preserve"> lõikes 3, mille kohaselt on isikul keelatud töötada turvatöötajana, kes on kriminaalmenetluses tahtliku kuriteo toimepanemises kahtlustatav või süüdistatav. See tähendab, et sisuliselt ei saa isik </w:t>
      </w:r>
      <w:r w:rsidR="009515C1" w:rsidRPr="00F62B11">
        <w:rPr>
          <w:rFonts w:eastAsia="DINPro" w:cs="Arial"/>
          <w:szCs w:val="24"/>
          <w:lang w:val="et-EE"/>
        </w:rPr>
        <w:lastRenderedPageBreak/>
        <w:t xml:space="preserve">turvatöötajana (või ka </w:t>
      </w:r>
      <w:proofErr w:type="spellStart"/>
      <w:r w:rsidR="009515C1" w:rsidRPr="00F62B11">
        <w:rPr>
          <w:rFonts w:eastAsia="DINPro" w:cs="Arial"/>
          <w:szCs w:val="24"/>
          <w:lang w:val="et-EE"/>
        </w:rPr>
        <w:t>sisevalvetöötajana</w:t>
      </w:r>
      <w:proofErr w:type="spellEnd"/>
      <w:r w:rsidR="009515C1" w:rsidRPr="00F62B11">
        <w:rPr>
          <w:rFonts w:eastAsia="DINPro" w:cs="Arial"/>
          <w:szCs w:val="24"/>
          <w:lang w:val="et-EE"/>
        </w:rPr>
        <w:t xml:space="preserve"> nt kuskil valvelauas või ukse </w:t>
      </w:r>
      <w:r w:rsidR="00BA63D3" w:rsidRPr="00F62B11">
        <w:rPr>
          <w:rFonts w:eastAsia="DINPro" w:cs="Arial"/>
          <w:szCs w:val="24"/>
          <w:lang w:val="et-EE"/>
        </w:rPr>
        <w:t>uksehoidjana</w:t>
      </w:r>
      <w:r w:rsidR="009515C1" w:rsidRPr="00F62B11">
        <w:rPr>
          <w:rFonts w:eastAsia="DINPro" w:cs="Arial"/>
          <w:szCs w:val="24"/>
          <w:lang w:val="et-EE"/>
        </w:rPr>
        <w:t xml:space="preserve">)  töötamist jätkata seni, kuni tehakse vastav kohtuotsus, mis muu hulgas võib osutuda ka õigeksmõistvaks. </w:t>
      </w:r>
      <w:r w:rsidR="00BA63D3" w:rsidRPr="00F62B11">
        <w:rPr>
          <w:rFonts w:eastAsia="DINPro" w:cs="Arial"/>
          <w:szCs w:val="24"/>
          <w:lang w:val="et-EE"/>
        </w:rPr>
        <w:t>Tööandjale tähendab see aga täiendavat koormust uue töötaja leidmiseks.</w:t>
      </w:r>
    </w:p>
    <w:p w:rsidR="00F62B11" w:rsidRPr="00F62B11" w:rsidRDefault="00F62B11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</w:p>
    <w:p w:rsidR="00D2436E" w:rsidRPr="00F62B11" w:rsidRDefault="00D2436E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  <w:r w:rsidRPr="00F62B11">
        <w:rPr>
          <w:rFonts w:eastAsia="DINPro" w:cs="Arial"/>
          <w:szCs w:val="24"/>
          <w:lang w:val="et-EE"/>
        </w:rPr>
        <w:t xml:space="preserve">Lisaks muudab antud sätte praktikas täitmist veel keerulisemaks see, et ettevõtjaga seotud isik (Eelnõu  10 lg 2 järgi osanik või aktsionär, kellel on üle viie protsendi aktsia- või osakapitalist) võib olla välismaalane või välismaa ettevõte. Ei ole selge, kuidas saab ettevõtja sel juhul välja </w:t>
      </w:r>
      <w:r w:rsidR="00660962" w:rsidRPr="00F62B11">
        <w:rPr>
          <w:rFonts w:eastAsia="DINPro" w:cs="Arial"/>
          <w:szCs w:val="24"/>
          <w:lang w:val="et-EE"/>
        </w:rPr>
        <w:t>uurida</w:t>
      </w:r>
      <w:r w:rsidRPr="00F62B11">
        <w:rPr>
          <w:rFonts w:eastAsia="DINPro" w:cs="Arial"/>
          <w:szCs w:val="24"/>
          <w:lang w:val="et-EE"/>
        </w:rPr>
        <w:t xml:space="preserve">, kas isik on kuskil kriminaalmenetluses süüdistatav või kahtlustatav </w:t>
      </w:r>
      <w:r w:rsidR="00660962" w:rsidRPr="00F62B11">
        <w:rPr>
          <w:rFonts w:eastAsia="DINPro" w:cs="Arial"/>
          <w:szCs w:val="24"/>
          <w:lang w:val="et-EE"/>
        </w:rPr>
        <w:t xml:space="preserve">või mitte. </w:t>
      </w:r>
    </w:p>
    <w:p w:rsidR="00D2436E" w:rsidRPr="00F62B11" w:rsidRDefault="00D2436E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</w:p>
    <w:p w:rsidR="009515C1" w:rsidRPr="00F62B11" w:rsidRDefault="00D2436E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  <w:r w:rsidRPr="00F62B11">
        <w:rPr>
          <w:rFonts w:eastAsia="DINPro" w:cs="Arial"/>
          <w:szCs w:val="24"/>
          <w:u w:val="single"/>
          <w:lang w:val="et-EE"/>
        </w:rPr>
        <w:t>Ettepanek</w:t>
      </w:r>
      <w:r w:rsidRPr="00F62B11">
        <w:rPr>
          <w:rFonts w:eastAsia="DINPro" w:cs="Arial"/>
          <w:szCs w:val="24"/>
          <w:lang w:val="et-EE"/>
        </w:rPr>
        <w:t xml:space="preserve">: </w:t>
      </w:r>
      <w:r w:rsidR="00F62B11" w:rsidRPr="00F62B11">
        <w:rPr>
          <w:rFonts w:eastAsia="DINPro" w:cs="Arial"/>
          <w:szCs w:val="24"/>
          <w:lang w:val="et-EE"/>
        </w:rPr>
        <w:t>v</w:t>
      </w:r>
      <w:r w:rsidR="009515C1" w:rsidRPr="00F62B11">
        <w:rPr>
          <w:rFonts w:eastAsia="DINPro" w:cs="Arial"/>
          <w:szCs w:val="24"/>
          <w:lang w:val="et-EE"/>
        </w:rPr>
        <w:t>astav piirang vajab täiendavat analüüsimist ja hindamist, eelkõige, kuidas ettevõtja praktikas neid asjaolusid kontrollida saab ning kas on üldse põhjendatud enne isiku süüdi mõistmist tema töötamist piirata.</w:t>
      </w:r>
    </w:p>
    <w:p w:rsidR="003633FE" w:rsidRPr="00F62B11" w:rsidRDefault="003633FE" w:rsidP="00F62B11">
      <w:pPr>
        <w:spacing w:before="120" w:after="0" w:line="240" w:lineRule="auto"/>
        <w:rPr>
          <w:rFonts w:eastAsia="DINPro" w:cs="Arial"/>
          <w:szCs w:val="24"/>
          <w:lang w:val="et-EE"/>
        </w:rPr>
      </w:pPr>
    </w:p>
    <w:p w:rsidR="00F62B11" w:rsidRDefault="005951BD" w:rsidP="00F62B11">
      <w:pPr>
        <w:spacing w:before="120" w:after="0" w:line="240" w:lineRule="auto"/>
        <w:rPr>
          <w:rFonts w:cs="Arial"/>
          <w:szCs w:val="24"/>
          <w:lang w:val="et-EE" w:eastAsia="et-EE"/>
        </w:rPr>
      </w:pPr>
      <w:r w:rsidRPr="00F62B11">
        <w:rPr>
          <w:rFonts w:cs="Arial"/>
          <w:szCs w:val="24"/>
          <w:lang w:val="et-EE" w:eastAsia="et-EE"/>
        </w:rPr>
        <w:t>Loodame, et peate võimalikuks Kaubanduskoja ettepanekuid arvesse võtta.</w:t>
      </w:r>
      <w:r w:rsidR="00F62B11">
        <w:rPr>
          <w:rFonts w:cs="Arial"/>
          <w:szCs w:val="24"/>
          <w:lang w:val="et-EE" w:eastAsia="et-EE"/>
        </w:rPr>
        <w:t xml:space="preserve"> </w:t>
      </w:r>
    </w:p>
    <w:p w:rsidR="00F62B11" w:rsidRDefault="002A6CE5" w:rsidP="00F62B11">
      <w:pPr>
        <w:spacing w:before="120" w:after="0" w:line="240" w:lineRule="auto"/>
        <w:rPr>
          <w:rFonts w:cs="Arial"/>
          <w:szCs w:val="24"/>
          <w:lang w:val="et-EE" w:eastAsia="et-EE"/>
        </w:rPr>
      </w:pPr>
      <w:r w:rsidRPr="00F62B11">
        <w:rPr>
          <w:rFonts w:cs="Arial"/>
          <w:szCs w:val="24"/>
          <w:lang w:val="et-EE" w:eastAsia="et-EE"/>
        </w:rPr>
        <w:t>Ühtlasi anname teada, et Kaubanduskoda on teadlik Eesti Turva</w:t>
      </w:r>
      <w:r w:rsidR="00FA3414" w:rsidRPr="00F62B11">
        <w:rPr>
          <w:rFonts w:cs="Arial"/>
          <w:szCs w:val="24"/>
          <w:lang w:val="et-EE" w:eastAsia="et-EE"/>
        </w:rPr>
        <w:t>ettevõtete Liidu järgmistest ettepanekutest ning toetab neid</w:t>
      </w:r>
      <w:r w:rsidR="00F62B11">
        <w:rPr>
          <w:rFonts w:cs="Arial"/>
          <w:szCs w:val="24"/>
          <w:lang w:val="et-EE" w:eastAsia="et-EE"/>
        </w:rPr>
        <w:t>:</w:t>
      </w:r>
    </w:p>
    <w:p w:rsidR="00F62B11" w:rsidRPr="00F62B11" w:rsidRDefault="00FA3414" w:rsidP="00F62B11">
      <w:pPr>
        <w:pStyle w:val="ListParagraph"/>
        <w:numPr>
          <w:ilvl w:val="0"/>
          <w:numId w:val="19"/>
        </w:numPr>
        <w:spacing w:before="120" w:after="0" w:line="240" w:lineRule="auto"/>
        <w:rPr>
          <w:rFonts w:cs="Arial"/>
          <w:szCs w:val="24"/>
          <w:lang w:val="et-EE" w:eastAsia="et-EE"/>
        </w:rPr>
      </w:pPr>
      <w:r w:rsidRPr="00F62B11">
        <w:rPr>
          <w:rFonts w:cs="Arial"/>
          <w:szCs w:val="24"/>
          <w:lang w:val="et-EE" w:eastAsia="et-EE"/>
        </w:rPr>
        <w:t>ettepanek</w:t>
      </w:r>
      <w:r w:rsidR="002A1449" w:rsidRPr="00F62B11">
        <w:rPr>
          <w:rFonts w:cs="Arial"/>
          <w:szCs w:val="24"/>
          <w:lang w:val="et-EE" w:eastAsia="et-EE"/>
        </w:rPr>
        <w:t xml:space="preserve"> panna ettevõtjale teavitamiskohustus </w:t>
      </w:r>
      <w:r w:rsidR="002A6CE5" w:rsidRPr="00F62B11">
        <w:rPr>
          <w:rFonts w:cs="Arial"/>
          <w:szCs w:val="24"/>
          <w:lang w:val="et-EE" w:eastAsia="et-EE"/>
        </w:rPr>
        <w:t>majandustegevuse alustamise</w:t>
      </w:r>
      <w:r w:rsidR="002A1449" w:rsidRPr="00F62B11">
        <w:rPr>
          <w:rFonts w:cs="Arial"/>
          <w:szCs w:val="24"/>
          <w:lang w:val="et-EE" w:eastAsia="et-EE"/>
        </w:rPr>
        <w:t>l</w:t>
      </w:r>
      <w:r w:rsidR="002A6CE5" w:rsidRPr="00F62B11">
        <w:rPr>
          <w:rFonts w:cs="Arial"/>
          <w:szCs w:val="24"/>
          <w:lang w:val="et-EE" w:eastAsia="et-EE"/>
        </w:rPr>
        <w:t xml:space="preserve"> </w:t>
      </w:r>
      <w:r w:rsidR="002A6CE5" w:rsidRPr="00F62B11">
        <w:rPr>
          <w:rFonts w:cs="Arial"/>
          <w:iCs/>
          <w:szCs w:val="24"/>
          <w:lang w:val="et-EE" w:eastAsia="et-EE"/>
        </w:rPr>
        <w:t>valveseadmestiku projekteerimise, paigaldamise ja hooldamise alal</w:t>
      </w:r>
      <w:r w:rsidR="002A1449" w:rsidRPr="00F62B11">
        <w:rPr>
          <w:rFonts w:cs="Arial"/>
          <w:szCs w:val="24"/>
          <w:lang w:val="et-EE" w:eastAsia="et-EE"/>
        </w:rPr>
        <w:t xml:space="preserve"> ning </w:t>
      </w:r>
    </w:p>
    <w:p w:rsidR="00634F8F" w:rsidRPr="00F62B11" w:rsidRDefault="00F62B11" w:rsidP="00F62B11">
      <w:pPr>
        <w:pStyle w:val="ListParagraph"/>
        <w:numPr>
          <w:ilvl w:val="0"/>
          <w:numId w:val="19"/>
        </w:numPr>
        <w:spacing w:before="120" w:after="0" w:line="240" w:lineRule="auto"/>
        <w:rPr>
          <w:rFonts w:cs="Arial"/>
          <w:szCs w:val="24"/>
          <w:lang w:val="et-EE" w:eastAsia="et-EE"/>
        </w:rPr>
      </w:pPr>
      <w:r w:rsidRPr="00F62B11">
        <w:rPr>
          <w:rFonts w:cs="Arial"/>
          <w:szCs w:val="24"/>
          <w:lang w:val="et-EE" w:eastAsia="et-EE"/>
        </w:rPr>
        <w:t>ettepanek</w:t>
      </w:r>
      <w:r w:rsidR="00FA3414" w:rsidRPr="00F62B11">
        <w:rPr>
          <w:rFonts w:cs="Arial"/>
          <w:szCs w:val="24"/>
          <w:lang w:val="et-EE" w:eastAsia="et-EE"/>
        </w:rPr>
        <w:t xml:space="preserve"> </w:t>
      </w:r>
      <w:r w:rsidR="002A1449" w:rsidRPr="00F62B11">
        <w:rPr>
          <w:rFonts w:cs="Arial"/>
          <w:szCs w:val="24"/>
          <w:lang w:val="et-EE" w:eastAsia="et-EE"/>
        </w:rPr>
        <w:t>t</w:t>
      </w:r>
      <w:r w:rsidR="002A6CE5" w:rsidRPr="00F62B11">
        <w:rPr>
          <w:rFonts w:cs="Arial"/>
          <w:iCs/>
          <w:szCs w:val="24"/>
          <w:lang w:val="et-EE" w:eastAsia="et-EE"/>
        </w:rPr>
        <w:t>uua tuleohutusseaduse eeskujul sisse vastutava isiku mõiste</w:t>
      </w:r>
      <w:r w:rsidR="002A1449" w:rsidRPr="00F62B11">
        <w:rPr>
          <w:rFonts w:cs="Arial"/>
          <w:iCs/>
          <w:szCs w:val="24"/>
          <w:lang w:val="et-EE" w:eastAsia="et-EE"/>
        </w:rPr>
        <w:t xml:space="preserve"> ja lugeda m</w:t>
      </w:r>
      <w:r w:rsidR="00785C73" w:rsidRPr="00F62B11">
        <w:rPr>
          <w:rFonts w:cs="Arial"/>
          <w:iCs/>
          <w:szCs w:val="24"/>
          <w:lang w:val="et-EE" w:eastAsia="et-EE"/>
        </w:rPr>
        <w:t xml:space="preserve">ajandustegevusteade esitatuks, kui majandustegevuse registris on olemas turvategevuse korraldamise eest vastutava isiku kinnitus oma õigussuhte kohta </w:t>
      </w:r>
      <w:r w:rsidR="002A1449" w:rsidRPr="00F62B11">
        <w:rPr>
          <w:rFonts w:cs="Arial"/>
          <w:iCs/>
          <w:szCs w:val="24"/>
          <w:lang w:val="et-EE" w:eastAsia="et-EE"/>
        </w:rPr>
        <w:t>turva ettevõttega</w:t>
      </w:r>
      <w:r w:rsidR="00785C73" w:rsidRPr="00F62B11">
        <w:rPr>
          <w:rFonts w:cs="Arial"/>
          <w:iCs/>
          <w:szCs w:val="24"/>
          <w:lang w:val="et-EE" w:eastAsia="et-EE"/>
        </w:rPr>
        <w:t>.</w:t>
      </w:r>
      <w:r w:rsidR="002A1449" w:rsidRPr="00F62B11">
        <w:rPr>
          <w:rFonts w:cs="Arial"/>
          <w:iCs/>
          <w:szCs w:val="24"/>
          <w:lang w:val="et-EE" w:eastAsia="et-EE"/>
        </w:rPr>
        <w:t xml:space="preserve"> </w:t>
      </w:r>
    </w:p>
    <w:p w:rsidR="005951BD" w:rsidRDefault="005951BD" w:rsidP="00F62B11">
      <w:pPr>
        <w:spacing w:before="120" w:after="0" w:line="240" w:lineRule="auto"/>
        <w:rPr>
          <w:rFonts w:cs="Arial"/>
          <w:szCs w:val="24"/>
          <w:lang w:val="et-EE" w:eastAsia="et-EE"/>
        </w:rPr>
      </w:pPr>
    </w:p>
    <w:p w:rsidR="00F62B11" w:rsidRPr="00F62B11" w:rsidRDefault="00F62B11" w:rsidP="00F62B11">
      <w:pPr>
        <w:spacing w:before="120" w:after="0" w:line="240" w:lineRule="auto"/>
        <w:rPr>
          <w:rFonts w:cs="Arial"/>
          <w:szCs w:val="24"/>
          <w:lang w:val="et-EE" w:eastAsia="et-EE"/>
        </w:rPr>
      </w:pPr>
    </w:p>
    <w:p w:rsidR="00FA3414" w:rsidRPr="00F62B11" w:rsidRDefault="00FA3414" w:rsidP="00F62B11">
      <w:pPr>
        <w:spacing w:before="120" w:after="0" w:line="240" w:lineRule="auto"/>
        <w:rPr>
          <w:rFonts w:cs="Arial"/>
          <w:szCs w:val="24"/>
          <w:lang w:val="et-EE" w:eastAsia="et-EE"/>
        </w:rPr>
      </w:pPr>
    </w:p>
    <w:p w:rsidR="00664073" w:rsidRPr="00F62B11" w:rsidRDefault="00664073" w:rsidP="00F62B11">
      <w:pPr>
        <w:spacing w:after="0" w:line="240" w:lineRule="auto"/>
        <w:rPr>
          <w:rFonts w:cs="Arial"/>
          <w:szCs w:val="24"/>
          <w:lang w:val="et-EE" w:eastAsia="et-EE"/>
        </w:rPr>
      </w:pPr>
      <w:r w:rsidRPr="00F62B11">
        <w:rPr>
          <w:rFonts w:cs="Arial"/>
          <w:szCs w:val="24"/>
          <w:lang w:val="et-EE" w:eastAsia="et-EE"/>
        </w:rPr>
        <w:t>Lugupidamisega</w:t>
      </w:r>
    </w:p>
    <w:p w:rsidR="00664073" w:rsidRPr="00F62B11" w:rsidRDefault="00664073" w:rsidP="00F62B11">
      <w:pPr>
        <w:spacing w:after="0" w:line="240" w:lineRule="auto"/>
        <w:rPr>
          <w:rFonts w:cs="Arial"/>
          <w:szCs w:val="24"/>
          <w:lang w:val="et-EE" w:eastAsia="et-EE"/>
        </w:rPr>
      </w:pPr>
    </w:p>
    <w:p w:rsidR="00664073" w:rsidRPr="00F62B11" w:rsidRDefault="00664073" w:rsidP="00F62B11">
      <w:pPr>
        <w:spacing w:after="0" w:line="240" w:lineRule="auto"/>
        <w:rPr>
          <w:rFonts w:cs="Arial"/>
          <w:szCs w:val="24"/>
          <w:lang w:val="et-EE" w:eastAsia="et-EE"/>
        </w:rPr>
      </w:pPr>
    </w:p>
    <w:p w:rsidR="00664073" w:rsidRPr="00F62B11" w:rsidRDefault="00664073" w:rsidP="00F62B11">
      <w:pPr>
        <w:spacing w:after="0" w:line="240" w:lineRule="auto"/>
        <w:rPr>
          <w:rFonts w:cs="Arial"/>
          <w:szCs w:val="24"/>
          <w:lang w:val="et-EE" w:eastAsia="et-EE"/>
        </w:rPr>
      </w:pPr>
      <w:r w:rsidRPr="00F62B11">
        <w:rPr>
          <w:rFonts w:cs="Arial"/>
          <w:szCs w:val="24"/>
          <w:lang w:val="et-EE" w:eastAsia="et-EE"/>
        </w:rPr>
        <w:t>/allkirjastatud digitaalselt/</w:t>
      </w:r>
    </w:p>
    <w:p w:rsidR="00406891" w:rsidRPr="00F62B11" w:rsidRDefault="00406891" w:rsidP="00F62B11">
      <w:pPr>
        <w:spacing w:after="0" w:line="240" w:lineRule="auto"/>
        <w:rPr>
          <w:rFonts w:cs="Arial"/>
          <w:szCs w:val="24"/>
          <w:lang w:val="et-EE" w:eastAsia="et-EE"/>
        </w:rPr>
      </w:pPr>
    </w:p>
    <w:p w:rsidR="00413994" w:rsidRPr="00F62B11" w:rsidRDefault="00413994" w:rsidP="00F62B11">
      <w:pPr>
        <w:spacing w:after="0" w:line="240" w:lineRule="auto"/>
        <w:rPr>
          <w:rFonts w:cs="Arial"/>
          <w:szCs w:val="24"/>
          <w:lang w:val="et-EE" w:eastAsia="et-EE"/>
        </w:rPr>
      </w:pPr>
      <w:r w:rsidRPr="00F62B11">
        <w:rPr>
          <w:rFonts w:cs="Arial"/>
          <w:szCs w:val="24"/>
          <w:lang w:val="et-EE" w:eastAsia="et-EE"/>
        </w:rPr>
        <w:t>Ene Rammo</w:t>
      </w:r>
    </w:p>
    <w:p w:rsidR="00413994" w:rsidRPr="00F62B11" w:rsidRDefault="00413994" w:rsidP="00F62B11">
      <w:pPr>
        <w:spacing w:after="0" w:line="240" w:lineRule="auto"/>
        <w:rPr>
          <w:rFonts w:cs="Arial"/>
          <w:szCs w:val="24"/>
          <w:lang w:val="et-EE" w:eastAsia="et-EE"/>
        </w:rPr>
      </w:pPr>
      <w:r w:rsidRPr="00F62B11">
        <w:rPr>
          <w:rFonts w:cs="Arial"/>
          <w:szCs w:val="24"/>
          <w:lang w:val="et-EE" w:eastAsia="et-EE"/>
        </w:rPr>
        <w:t>Finantsdirektor</w:t>
      </w:r>
    </w:p>
    <w:p w:rsidR="00664073" w:rsidRPr="00F62B11" w:rsidRDefault="00413994" w:rsidP="00F62B11">
      <w:pPr>
        <w:spacing w:after="0" w:line="240" w:lineRule="auto"/>
        <w:rPr>
          <w:rFonts w:cs="Arial"/>
          <w:szCs w:val="24"/>
          <w:lang w:val="et-EE" w:eastAsia="et-EE"/>
        </w:rPr>
      </w:pPr>
      <w:r w:rsidRPr="00F62B11">
        <w:rPr>
          <w:rFonts w:cs="Arial"/>
          <w:szCs w:val="24"/>
          <w:lang w:val="et-EE" w:eastAsia="et-EE"/>
        </w:rPr>
        <w:t>Peadirektori ülesannetes</w:t>
      </w:r>
    </w:p>
    <w:p w:rsidR="00664073" w:rsidRPr="00F62B11" w:rsidRDefault="00664073" w:rsidP="00F62B11">
      <w:pPr>
        <w:spacing w:after="0" w:line="240" w:lineRule="auto"/>
        <w:rPr>
          <w:rFonts w:cs="Arial"/>
          <w:szCs w:val="24"/>
          <w:lang w:val="et-EE" w:eastAsia="et-EE"/>
        </w:rPr>
      </w:pPr>
    </w:p>
    <w:p w:rsidR="00664073" w:rsidRPr="00F62B11" w:rsidRDefault="00664073" w:rsidP="00F62B11">
      <w:pPr>
        <w:spacing w:after="0" w:line="240" w:lineRule="auto"/>
        <w:rPr>
          <w:rFonts w:cs="Arial"/>
          <w:szCs w:val="24"/>
          <w:lang w:val="et-EE" w:eastAsia="et-EE"/>
        </w:rPr>
      </w:pPr>
    </w:p>
    <w:p w:rsidR="00042844" w:rsidRPr="00F62B11" w:rsidRDefault="00042844" w:rsidP="00F62B11">
      <w:pPr>
        <w:spacing w:after="0" w:line="240" w:lineRule="auto"/>
        <w:rPr>
          <w:rFonts w:cs="Arial"/>
          <w:szCs w:val="24"/>
          <w:lang w:val="et-EE" w:eastAsia="et-EE"/>
        </w:rPr>
      </w:pPr>
    </w:p>
    <w:p w:rsidR="00F62B11" w:rsidRPr="00F62B11" w:rsidRDefault="00F62B11" w:rsidP="00F62B11">
      <w:pPr>
        <w:spacing w:after="0" w:line="240" w:lineRule="auto"/>
        <w:rPr>
          <w:rFonts w:cs="Arial"/>
          <w:szCs w:val="24"/>
          <w:lang w:val="et-EE" w:eastAsia="et-EE"/>
        </w:rPr>
      </w:pPr>
    </w:p>
    <w:p w:rsidR="00F62B11" w:rsidRPr="00F62B11" w:rsidRDefault="00F62B11" w:rsidP="00F62B11">
      <w:pPr>
        <w:spacing w:after="0" w:line="240" w:lineRule="auto"/>
        <w:rPr>
          <w:rFonts w:cs="Arial"/>
          <w:szCs w:val="24"/>
          <w:lang w:val="et-EE" w:eastAsia="et-EE"/>
        </w:rPr>
      </w:pPr>
    </w:p>
    <w:p w:rsidR="00413994" w:rsidRPr="00F62B11" w:rsidRDefault="00413994" w:rsidP="00F62B11">
      <w:pPr>
        <w:spacing w:after="0" w:line="240" w:lineRule="auto"/>
        <w:rPr>
          <w:rFonts w:cs="Arial"/>
          <w:szCs w:val="24"/>
          <w:lang w:val="et-EE" w:eastAsia="et-EE"/>
        </w:rPr>
      </w:pPr>
    </w:p>
    <w:p w:rsidR="0021266C" w:rsidRPr="00F62B11" w:rsidRDefault="00EC12E1" w:rsidP="00F62B11">
      <w:pPr>
        <w:spacing w:after="0" w:line="240" w:lineRule="auto"/>
        <w:rPr>
          <w:rFonts w:cs="Arial"/>
          <w:szCs w:val="24"/>
          <w:lang w:val="et-EE" w:eastAsia="et-EE"/>
        </w:rPr>
      </w:pPr>
      <w:r w:rsidRPr="00F62B11">
        <w:rPr>
          <w:rFonts w:cs="Arial"/>
          <w:szCs w:val="24"/>
          <w:lang w:val="et-EE" w:eastAsia="et-EE"/>
        </w:rPr>
        <w:t xml:space="preserve">Koostanud: </w:t>
      </w:r>
      <w:r w:rsidR="00406891" w:rsidRPr="00F62B11">
        <w:rPr>
          <w:rFonts w:cs="Arial"/>
          <w:szCs w:val="24"/>
          <w:lang w:val="et-EE" w:eastAsia="et-EE"/>
        </w:rPr>
        <w:t xml:space="preserve">Kristina Jerjomina </w:t>
      </w:r>
      <w:hyperlink r:id="rId8" w:history="1">
        <w:r w:rsidR="00406891" w:rsidRPr="00F62B11">
          <w:rPr>
            <w:rStyle w:val="Hyperlink"/>
            <w:rFonts w:cs="Arial"/>
            <w:szCs w:val="24"/>
            <w:lang w:val="et-EE" w:eastAsia="et-EE"/>
          </w:rPr>
          <w:t>Kristina.Jerjomina@koda.ee</w:t>
        </w:r>
      </w:hyperlink>
      <w:r w:rsidR="00406891" w:rsidRPr="00F62B11">
        <w:rPr>
          <w:rFonts w:cs="Arial"/>
          <w:szCs w:val="24"/>
          <w:lang w:val="et-EE" w:eastAsia="et-EE"/>
        </w:rPr>
        <w:t xml:space="preserve"> </w:t>
      </w:r>
      <w:r w:rsidRPr="00F62B11">
        <w:rPr>
          <w:rFonts w:cs="Arial"/>
          <w:szCs w:val="24"/>
          <w:lang w:val="et-EE" w:eastAsia="et-EE"/>
        </w:rPr>
        <w:t>604</w:t>
      </w:r>
      <w:r w:rsidR="00406891" w:rsidRPr="00F62B11">
        <w:rPr>
          <w:rFonts w:cs="Arial"/>
          <w:szCs w:val="24"/>
          <w:lang w:val="et-EE" w:eastAsia="et-EE"/>
        </w:rPr>
        <w:t xml:space="preserve"> </w:t>
      </w:r>
      <w:r w:rsidRPr="00F62B11">
        <w:rPr>
          <w:rFonts w:cs="Arial"/>
          <w:szCs w:val="24"/>
          <w:lang w:val="et-EE" w:eastAsia="et-EE"/>
        </w:rPr>
        <w:t>007</w:t>
      </w:r>
      <w:r w:rsidR="00406891" w:rsidRPr="00F62B11">
        <w:rPr>
          <w:rFonts w:cs="Arial"/>
          <w:szCs w:val="24"/>
          <w:lang w:val="et-EE" w:eastAsia="et-EE"/>
        </w:rPr>
        <w:t>1</w:t>
      </w:r>
    </w:p>
    <w:sectPr w:rsidR="0021266C" w:rsidRPr="00F62B11" w:rsidSect="003A75D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DFA" w:rsidRDefault="00E17DFA" w:rsidP="00820313">
      <w:pPr>
        <w:spacing w:after="0" w:line="240" w:lineRule="auto"/>
      </w:pPr>
      <w:r>
        <w:separator/>
      </w:r>
    </w:p>
  </w:endnote>
  <w:endnote w:type="continuationSeparator" w:id="0">
    <w:p w:rsidR="00E17DFA" w:rsidRDefault="00E17DFA" w:rsidP="0082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7F" w:rsidRPr="00C75E0E" w:rsidRDefault="001F7C7F" w:rsidP="001F7C7F">
    <w:pPr>
      <w:pStyle w:val="Footer"/>
      <w:rPr>
        <w:rFonts w:cs="Arial"/>
        <w:b/>
        <w:sz w:val="14"/>
        <w:szCs w:val="14"/>
      </w:rPr>
    </w:pPr>
    <w:r w:rsidRPr="00C75E0E">
      <w:rPr>
        <w:rFonts w:cs="Arial"/>
        <w:b/>
        <w:sz w:val="14"/>
        <w:szCs w:val="14"/>
      </w:rPr>
      <w:t>ESTONIAN CHAMBER OF COMMERCE AND INDUSTRY / ЭСТОНСКАЯ ТОРГОВО - ПРОМЫШЛЕННАЯ ПАЛАТА</w:t>
    </w:r>
  </w:p>
  <w:p w:rsidR="001F7C7F" w:rsidRPr="00C75E0E" w:rsidRDefault="001F7C7F">
    <w:pPr>
      <w:pStyle w:val="Footer"/>
      <w:rPr>
        <w:rFonts w:cs="Arial"/>
        <w:sz w:val="14"/>
        <w:szCs w:val="14"/>
      </w:rPr>
    </w:pPr>
    <w:r w:rsidRPr="00C75E0E">
      <w:rPr>
        <w:rFonts w:cs="Arial"/>
        <w:sz w:val="14"/>
        <w:szCs w:val="14"/>
      </w:rPr>
      <w:t>TOOM-KOOLI 17, 10130 TALLINN / REG NO 80004733 / TEL: +372 604 0060 / KODA@KODA.EE / WWW.KODA.EE / WWW.ENTERPRISE-EUROPE.EE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13" w:rsidRPr="00BF3929" w:rsidRDefault="00820313" w:rsidP="00FD0CDE">
    <w:pPr>
      <w:pStyle w:val="Footer"/>
      <w:rPr>
        <w:rFonts w:cs="Arial"/>
        <w:b/>
        <w:sz w:val="14"/>
        <w:szCs w:val="14"/>
      </w:rPr>
    </w:pPr>
    <w:r w:rsidRPr="00BF3929">
      <w:rPr>
        <w:rFonts w:cs="Arial"/>
        <w:b/>
        <w:sz w:val="14"/>
        <w:szCs w:val="14"/>
      </w:rPr>
      <w:t>ESTONIAN CHAMBER OF COMMERCE AND INDUSTRY / ЭСТОНСКАЯ ТОРГОВО - ПРОМЫШЛЕННАЯ ПАЛАТА</w:t>
    </w:r>
  </w:p>
  <w:p w:rsidR="00820313" w:rsidRPr="00BF3929" w:rsidRDefault="00820313" w:rsidP="00FD0CDE">
    <w:pPr>
      <w:pStyle w:val="Footer"/>
      <w:rPr>
        <w:rFonts w:cs="Arial"/>
        <w:sz w:val="14"/>
        <w:szCs w:val="14"/>
      </w:rPr>
    </w:pPr>
    <w:r w:rsidRPr="00BF3929">
      <w:rPr>
        <w:rFonts w:cs="Arial"/>
        <w:sz w:val="14"/>
        <w:szCs w:val="14"/>
      </w:rPr>
      <w:t>TOOM-KOOLI 17, 10130 TALLINN / REG NO 80004733 / TEL: +372 604 0060 / KODA@KODA.EE / WWW.KODA.EE / WWW.ENTERPRISE-EUROPE.EE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DFA" w:rsidRDefault="00E17DFA" w:rsidP="00820313">
      <w:pPr>
        <w:spacing w:after="0" w:line="240" w:lineRule="auto"/>
      </w:pPr>
      <w:r>
        <w:separator/>
      </w:r>
    </w:p>
  </w:footnote>
  <w:footnote w:type="continuationSeparator" w:id="0">
    <w:p w:rsidR="00E17DFA" w:rsidRDefault="00E17DFA" w:rsidP="0082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91C" w:rsidRDefault="00860CB8" w:rsidP="00C0691C">
    <w:pPr>
      <w:pStyle w:val="Header"/>
    </w:pPr>
    <w:r w:rsidRPr="00D30DF8">
      <w:rPr>
        <w:noProof/>
      </w:rPr>
      <w:drawing>
        <wp:anchor distT="0" distB="0" distL="114300" distR="114300" simplePos="0" relativeHeight="251667456" behindDoc="0" locked="0" layoutInCell="1" allowOverlap="1" wp14:anchorId="46AECE42" wp14:editId="3B2B87D4">
          <wp:simplePos x="0" y="0"/>
          <wp:positionH relativeFrom="page">
            <wp:posOffset>1172210</wp:posOffset>
          </wp:positionH>
          <wp:positionV relativeFrom="page">
            <wp:posOffset>503555</wp:posOffset>
          </wp:positionV>
          <wp:extent cx="1893600" cy="720000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45F2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0069F4B" wp14:editId="6919BA77">
              <wp:simplePos x="0" y="0"/>
              <wp:positionH relativeFrom="page">
                <wp:posOffset>885825</wp:posOffset>
              </wp:positionH>
              <wp:positionV relativeFrom="page">
                <wp:posOffset>709295</wp:posOffset>
              </wp:positionV>
              <wp:extent cx="53975" cy="222885"/>
              <wp:effectExtent l="0" t="0" r="3175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75" cy="222885"/>
                        <a:chOff x="0" y="0"/>
                        <a:chExt cx="54000" cy="223267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00AD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111667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2F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CFE34A" id="Group 1" o:spid="_x0000_s1026" style="position:absolute;margin-left:69.75pt;margin-top:55.85pt;width:4.25pt;height:17.55pt;z-index:251663360;mso-position-horizontal-relative:page;mso-position-vertical-relative:page;mso-width-relative:margin;mso-height-relative:margin" coordsize="54000,22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">
              <v:rect id="Rectangle 2" o:spid="_x0000_s1027" style="position:absolute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" fillcolor="#00adef" stroked="f" strokeweight="1pt"/>
              <v:rect id="Rectangle 6" o:spid="_x0000_s1028" style="position:absolute;top:111667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" fillcolor="#2f3333" stroked="f" strokeweight="1pt"/>
              <w10:wrap anchorx="page" anchory="page"/>
            </v:group>
          </w:pict>
        </mc:Fallback>
      </mc:AlternateContent>
    </w:r>
  </w:p>
  <w:p w:rsidR="001F7C7F" w:rsidRPr="00C0691C" w:rsidRDefault="001F7C7F" w:rsidP="00C06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85" w:rsidRDefault="00D30DF8">
    <w:pPr>
      <w:pStyle w:val="Header"/>
    </w:pPr>
    <w:r w:rsidRPr="00D30DF8">
      <w:rPr>
        <w:noProof/>
      </w:rPr>
      <w:drawing>
        <wp:anchor distT="0" distB="0" distL="114300" distR="114300" simplePos="0" relativeHeight="251665408" behindDoc="0" locked="0" layoutInCell="1" allowOverlap="1" wp14:anchorId="1B13463E" wp14:editId="4D7A7849">
          <wp:simplePos x="0" y="0"/>
          <wp:positionH relativeFrom="page">
            <wp:posOffset>1134110</wp:posOffset>
          </wp:positionH>
          <wp:positionV relativeFrom="page">
            <wp:posOffset>467995</wp:posOffset>
          </wp:positionV>
          <wp:extent cx="1893600" cy="720000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45F2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657876" wp14:editId="45CB2EF1">
              <wp:simplePos x="0" y="0"/>
              <wp:positionH relativeFrom="page">
                <wp:posOffset>885825</wp:posOffset>
              </wp:positionH>
              <wp:positionV relativeFrom="page">
                <wp:posOffset>709295</wp:posOffset>
              </wp:positionV>
              <wp:extent cx="53975" cy="222885"/>
              <wp:effectExtent l="0" t="0" r="3175" b="571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75" cy="222885"/>
                        <a:chOff x="0" y="0"/>
                        <a:chExt cx="54000" cy="223267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00AD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0" y="111667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2F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0A3FF9" id="Group 5" o:spid="_x0000_s1026" style="position:absolute;margin-left:69.75pt;margin-top:55.85pt;width:4.25pt;height:17.55pt;z-index:251659264;mso-position-horizontal-relative:page;mso-position-vertical-relative:page;mso-width-relative:margin;mso-height-relative:margin" coordsize="54000,22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">
              <v:rect id="Rectangle 3" o:spid="_x0000_s1027" style="position:absolute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" fillcolor="#00adef" stroked="f" strokeweight="1pt"/>
              <v:rect id="Rectangle 4" o:spid="_x0000_s1028" style="position:absolute;top:111667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" fillcolor="#2f3333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CA6"/>
    <w:multiLevelType w:val="hybridMultilevel"/>
    <w:tmpl w:val="9B7EB85A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3FC9"/>
    <w:multiLevelType w:val="hybridMultilevel"/>
    <w:tmpl w:val="5546CE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706A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BE67B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4B0BA4"/>
    <w:multiLevelType w:val="multilevel"/>
    <w:tmpl w:val="7544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33094"/>
    <w:multiLevelType w:val="hybridMultilevel"/>
    <w:tmpl w:val="A1A0187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04F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E74AFB"/>
    <w:multiLevelType w:val="multilevel"/>
    <w:tmpl w:val="1BC6E4A4"/>
    <w:lvl w:ilvl="0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2B85"/>
    <w:multiLevelType w:val="hybridMultilevel"/>
    <w:tmpl w:val="B23065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373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FC73C2"/>
    <w:multiLevelType w:val="hybridMultilevel"/>
    <w:tmpl w:val="4C8E40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64CEB"/>
    <w:multiLevelType w:val="hybridMultilevel"/>
    <w:tmpl w:val="6608DF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75A24"/>
    <w:multiLevelType w:val="hybridMultilevel"/>
    <w:tmpl w:val="D0C491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242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417C8D"/>
    <w:multiLevelType w:val="hybridMultilevel"/>
    <w:tmpl w:val="007A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66E4B"/>
    <w:multiLevelType w:val="multilevel"/>
    <w:tmpl w:val="1344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70C45"/>
    <w:multiLevelType w:val="hybridMultilevel"/>
    <w:tmpl w:val="1BC6E4A4"/>
    <w:lvl w:ilvl="0" w:tplc="E0AA5980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11E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850A58"/>
    <w:multiLevelType w:val="hybridMultilevel"/>
    <w:tmpl w:val="11DA46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0"/>
  </w:num>
  <w:num w:numId="6">
    <w:abstractNumId w:val="12"/>
  </w:num>
  <w:num w:numId="7">
    <w:abstractNumId w:val="18"/>
  </w:num>
  <w:num w:numId="8">
    <w:abstractNumId w:val="8"/>
  </w:num>
  <w:num w:numId="9">
    <w:abstractNumId w:val="1"/>
  </w:num>
  <w:num w:numId="10">
    <w:abstractNumId w:val="10"/>
  </w:num>
  <w:num w:numId="11">
    <w:abstractNumId w:val="13"/>
  </w:num>
  <w:num w:numId="12">
    <w:abstractNumId w:val="3"/>
  </w:num>
  <w:num w:numId="13">
    <w:abstractNumId w:val="2"/>
  </w:num>
  <w:num w:numId="14">
    <w:abstractNumId w:val="9"/>
  </w:num>
  <w:num w:numId="15">
    <w:abstractNumId w:val="6"/>
  </w:num>
  <w:num w:numId="16">
    <w:abstractNumId w:val="17"/>
  </w:num>
  <w:num w:numId="17">
    <w:abstractNumId w:val="14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6D"/>
    <w:rsid w:val="00005402"/>
    <w:rsid w:val="00017239"/>
    <w:rsid w:val="00025BC4"/>
    <w:rsid w:val="000264A1"/>
    <w:rsid w:val="000315D0"/>
    <w:rsid w:val="0004156B"/>
    <w:rsid w:val="00042844"/>
    <w:rsid w:val="00052B97"/>
    <w:rsid w:val="00056A61"/>
    <w:rsid w:val="00075F48"/>
    <w:rsid w:val="00081B03"/>
    <w:rsid w:val="000875AE"/>
    <w:rsid w:val="00087F67"/>
    <w:rsid w:val="0009588D"/>
    <w:rsid w:val="000D4D11"/>
    <w:rsid w:val="000E042C"/>
    <w:rsid w:val="001022A5"/>
    <w:rsid w:val="00111FD6"/>
    <w:rsid w:val="00116016"/>
    <w:rsid w:val="00123409"/>
    <w:rsid w:val="00127EC0"/>
    <w:rsid w:val="001435CE"/>
    <w:rsid w:val="001455F9"/>
    <w:rsid w:val="00160DA4"/>
    <w:rsid w:val="00170796"/>
    <w:rsid w:val="00177795"/>
    <w:rsid w:val="00195564"/>
    <w:rsid w:val="001C3745"/>
    <w:rsid w:val="001C6610"/>
    <w:rsid w:val="001D4BB3"/>
    <w:rsid w:val="001D75FE"/>
    <w:rsid w:val="001E1B8B"/>
    <w:rsid w:val="001F74C2"/>
    <w:rsid w:val="001F7C7F"/>
    <w:rsid w:val="00202075"/>
    <w:rsid w:val="0021266C"/>
    <w:rsid w:val="00217564"/>
    <w:rsid w:val="00253303"/>
    <w:rsid w:val="0025346E"/>
    <w:rsid w:val="002A1449"/>
    <w:rsid w:val="002A5F93"/>
    <w:rsid w:val="002A68CB"/>
    <w:rsid w:val="002A6CE5"/>
    <w:rsid w:val="002B195A"/>
    <w:rsid w:val="002B19E3"/>
    <w:rsid w:val="002B4601"/>
    <w:rsid w:val="002D4EF6"/>
    <w:rsid w:val="002E0BA1"/>
    <w:rsid w:val="0030015A"/>
    <w:rsid w:val="00325C70"/>
    <w:rsid w:val="003303A8"/>
    <w:rsid w:val="00356B14"/>
    <w:rsid w:val="003633FE"/>
    <w:rsid w:val="00386C5D"/>
    <w:rsid w:val="003A50EE"/>
    <w:rsid w:val="003A75DA"/>
    <w:rsid w:val="003C42F5"/>
    <w:rsid w:val="003C6ED0"/>
    <w:rsid w:val="003E469B"/>
    <w:rsid w:val="00401498"/>
    <w:rsid w:val="00406891"/>
    <w:rsid w:val="004105A6"/>
    <w:rsid w:val="00413994"/>
    <w:rsid w:val="0042087F"/>
    <w:rsid w:val="00430F86"/>
    <w:rsid w:val="00434F30"/>
    <w:rsid w:val="004454D2"/>
    <w:rsid w:val="00456964"/>
    <w:rsid w:val="00464A6D"/>
    <w:rsid w:val="00473223"/>
    <w:rsid w:val="004A239C"/>
    <w:rsid w:val="004E2179"/>
    <w:rsid w:val="004E21A6"/>
    <w:rsid w:val="004F198F"/>
    <w:rsid w:val="004F23E5"/>
    <w:rsid w:val="004F6984"/>
    <w:rsid w:val="00523692"/>
    <w:rsid w:val="00531FB8"/>
    <w:rsid w:val="005375E5"/>
    <w:rsid w:val="00547375"/>
    <w:rsid w:val="00551DCA"/>
    <w:rsid w:val="00554EE1"/>
    <w:rsid w:val="0056407A"/>
    <w:rsid w:val="005710CB"/>
    <w:rsid w:val="00572ED8"/>
    <w:rsid w:val="005742AF"/>
    <w:rsid w:val="00586C96"/>
    <w:rsid w:val="005951BD"/>
    <w:rsid w:val="005A0F87"/>
    <w:rsid w:val="005A4840"/>
    <w:rsid w:val="005A4E4E"/>
    <w:rsid w:val="005B5A36"/>
    <w:rsid w:val="005C0A80"/>
    <w:rsid w:val="005D2F16"/>
    <w:rsid w:val="005E09F7"/>
    <w:rsid w:val="005E3412"/>
    <w:rsid w:val="005E3FFC"/>
    <w:rsid w:val="006009E0"/>
    <w:rsid w:val="00607360"/>
    <w:rsid w:val="006114CF"/>
    <w:rsid w:val="00612CE5"/>
    <w:rsid w:val="00615495"/>
    <w:rsid w:val="00627346"/>
    <w:rsid w:val="00634F8F"/>
    <w:rsid w:val="006360D0"/>
    <w:rsid w:val="00636DC2"/>
    <w:rsid w:val="006407C3"/>
    <w:rsid w:val="00641EE3"/>
    <w:rsid w:val="00646AFE"/>
    <w:rsid w:val="006472DA"/>
    <w:rsid w:val="00647591"/>
    <w:rsid w:val="00650398"/>
    <w:rsid w:val="00655A0D"/>
    <w:rsid w:val="006566BC"/>
    <w:rsid w:val="00660962"/>
    <w:rsid w:val="00664073"/>
    <w:rsid w:val="00672A08"/>
    <w:rsid w:val="006740AB"/>
    <w:rsid w:val="00674546"/>
    <w:rsid w:val="00674AE3"/>
    <w:rsid w:val="00675E90"/>
    <w:rsid w:val="00681FB7"/>
    <w:rsid w:val="00694A4B"/>
    <w:rsid w:val="006A45F2"/>
    <w:rsid w:val="006C1762"/>
    <w:rsid w:val="006C5A30"/>
    <w:rsid w:val="006D3B49"/>
    <w:rsid w:val="006E6100"/>
    <w:rsid w:val="0070166C"/>
    <w:rsid w:val="00702ABF"/>
    <w:rsid w:val="0071573C"/>
    <w:rsid w:val="00720402"/>
    <w:rsid w:val="00721D8B"/>
    <w:rsid w:val="00721F1F"/>
    <w:rsid w:val="00723D8F"/>
    <w:rsid w:val="007263D3"/>
    <w:rsid w:val="00736272"/>
    <w:rsid w:val="007542A6"/>
    <w:rsid w:val="007556D7"/>
    <w:rsid w:val="00756301"/>
    <w:rsid w:val="00785C73"/>
    <w:rsid w:val="00791072"/>
    <w:rsid w:val="00793BD4"/>
    <w:rsid w:val="007A0BD7"/>
    <w:rsid w:val="007A1349"/>
    <w:rsid w:val="007A3009"/>
    <w:rsid w:val="007B5E2E"/>
    <w:rsid w:val="007B7981"/>
    <w:rsid w:val="007D4353"/>
    <w:rsid w:val="007F308A"/>
    <w:rsid w:val="00807F4B"/>
    <w:rsid w:val="00810541"/>
    <w:rsid w:val="00811073"/>
    <w:rsid w:val="0081279D"/>
    <w:rsid w:val="00814095"/>
    <w:rsid w:val="008155A2"/>
    <w:rsid w:val="00820313"/>
    <w:rsid w:val="00824DA2"/>
    <w:rsid w:val="00824F51"/>
    <w:rsid w:val="00860CB8"/>
    <w:rsid w:val="00862FC4"/>
    <w:rsid w:val="008842DF"/>
    <w:rsid w:val="00886905"/>
    <w:rsid w:val="008A4F29"/>
    <w:rsid w:val="008A7CCE"/>
    <w:rsid w:val="008B1A03"/>
    <w:rsid w:val="008B219B"/>
    <w:rsid w:val="008B52FE"/>
    <w:rsid w:val="008C7B09"/>
    <w:rsid w:val="008D0CCD"/>
    <w:rsid w:val="008E1C32"/>
    <w:rsid w:val="008E5CC5"/>
    <w:rsid w:val="00905172"/>
    <w:rsid w:val="00921D2E"/>
    <w:rsid w:val="00925187"/>
    <w:rsid w:val="00927614"/>
    <w:rsid w:val="00927C68"/>
    <w:rsid w:val="0093173A"/>
    <w:rsid w:val="00946265"/>
    <w:rsid w:val="009515C1"/>
    <w:rsid w:val="009531E6"/>
    <w:rsid w:val="009641CC"/>
    <w:rsid w:val="00964AD4"/>
    <w:rsid w:val="00967088"/>
    <w:rsid w:val="00973D85"/>
    <w:rsid w:val="00987950"/>
    <w:rsid w:val="00996753"/>
    <w:rsid w:val="009C10EA"/>
    <w:rsid w:val="009D2C6C"/>
    <w:rsid w:val="009D7CDA"/>
    <w:rsid w:val="009E0E71"/>
    <w:rsid w:val="009E2EE5"/>
    <w:rsid w:val="00A01BC5"/>
    <w:rsid w:val="00A0568B"/>
    <w:rsid w:val="00A07DCA"/>
    <w:rsid w:val="00A27931"/>
    <w:rsid w:val="00A3261E"/>
    <w:rsid w:val="00A413C0"/>
    <w:rsid w:val="00A5589C"/>
    <w:rsid w:val="00A70673"/>
    <w:rsid w:val="00A73686"/>
    <w:rsid w:val="00A81BED"/>
    <w:rsid w:val="00AC496D"/>
    <w:rsid w:val="00AD0604"/>
    <w:rsid w:val="00AD2436"/>
    <w:rsid w:val="00AD6707"/>
    <w:rsid w:val="00AE137B"/>
    <w:rsid w:val="00AE3004"/>
    <w:rsid w:val="00B0185B"/>
    <w:rsid w:val="00B1102E"/>
    <w:rsid w:val="00B14AD7"/>
    <w:rsid w:val="00B534D7"/>
    <w:rsid w:val="00B963E2"/>
    <w:rsid w:val="00B96CE4"/>
    <w:rsid w:val="00BA4790"/>
    <w:rsid w:val="00BA63D3"/>
    <w:rsid w:val="00BC4C56"/>
    <w:rsid w:val="00BF3929"/>
    <w:rsid w:val="00BF3ECF"/>
    <w:rsid w:val="00C03498"/>
    <w:rsid w:val="00C0691C"/>
    <w:rsid w:val="00C100BD"/>
    <w:rsid w:val="00C27D59"/>
    <w:rsid w:val="00C361A2"/>
    <w:rsid w:val="00C37350"/>
    <w:rsid w:val="00C452B5"/>
    <w:rsid w:val="00C75E0E"/>
    <w:rsid w:val="00C80CC6"/>
    <w:rsid w:val="00CB16A0"/>
    <w:rsid w:val="00CC4974"/>
    <w:rsid w:val="00CD50F5"/>
    <w:rsid w:val="00CE18CE"/>
    <w:rsid w:val="00CE6555"/>
    <w:rsid w:val="00CE666C"/>
    <w:rsid w:val="00CF7D85"/>
    <w:rsid w:val="00D05EE8"/>
    <w:rsid w:val="00D22304"/>
    <w:rsid w:val="00D2436E"/>
    <w:rsid w:val="00D30DF8"/>
    <w:rsid w:val="00D42116"/>
    <w:rsid w:val="00D51F65"/>
    <w:rsid w:val="00D531C4"/>
    <w:rsid w:val="00D6159A"/>
    <w:rsid w:val="00D76A85"/>
    <w:rsid w:val="00D85424"/>
    <w:rsid w:val="00DA10F0"/>
    <w:rsid w:val="00DB0C92"/>
    <w:rsid w:val="00DB16AA"/>
    <w:rsid w:val="00DD2EC0"/>
    <w:rsid w:val="00DD6E57"/>
    <w:rsid w:val="00DF5073"/>
    <w:rsid w:val="00E05147"/>
    <w:rsid w:val="00E0539A"/>
    <w:rsid w:val="00E16ADD"/>
    <w:rsid w:val="00E17DFA"/>
    <w:rsid w:val="00E20861"/>
    <w:rsid w:val="00E45F6F"/>
    <w:rsid w:val="00E45FB2"/>
    <w:rsid w:val="00E70C07"/>
    <w:rsid w:val="00E72751"/>
    <w:rsid w:val="00EB3336"/>
    <w:rsid w:val="00EB60DF"/>
    <w:rsid w:val="00EB791C"/>
    <w:rsid w:val="00EC12E1"/>
    <w:rsid w:val="00EC6AAA"/>
    <w:rsid w:val="00ED1A7C"/>
    <w:rsid w:val="00ED68E1"/>
    <w:rsid w:val="00EE6D89"/>
    <w:rsid w:val="00EF70C4"/>
    <w:rsid w:val="00EF743D"/>
    <w:rsid w:val="00F47BB5"/>
    <w:rsid w:val="00F62B11"/>
    <w:rsid w:val="00F62C2F"/>
    <w:rsid w:val="00F7333B"/>
    <w:rsid w:val="00F948EC"/>
    <w:rsid w:val="00FA3414"/>
    <w:rsid w:val="00FD0CDE"/>
    <w:rsid w:val="00FE0E81"/>
    <w:rsid w:val="00FE3582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166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B11"/>
    <w:pPr>
      <w:spacing w:after="12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11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313"/>
  </w:style>
  <w:style w:type="paragraph" w:styleId="Footer">
    <w:name w:val="footer"/>
    <w:basedOn w:val="Normal"/>
    <w:link w:val="FooterChar"/>
    <w:uiPriority w:val="99"/>
    <w:unhideWhenUsed/>
    <w:rsid w:val="00FD0CDE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D0CDE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21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1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2E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20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0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2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Jerjomina@koda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DA">
      <a:majorFont>
        <a:latin typeface="DINPro"/>
        <a:ea typeface=""/>
        <a:cs typeface=""/>
      </a:majorFont>
      <a:minorFont>
        <a:latin typeface="DIN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0C968-56B1-4684-AB2C-5174659C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2019-12-15T21:45:00Z</dcterms:created>
  <dcterms:modified xsi:type="dcterms:W3CDTF">2019-12-17T13:31:00Z</dcterms:modified>
</cp:coreProperties>
</file>